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160087" w:rsidRDefault="00160087" w:rsidP="00A01ABF">
      <w:pPr>
        <w:spacing w:before="10"/>
        <w:jc w:val="both"/>
        <w:rPr>
          <w:rFonts w:ascii="Times New Roman" w:eastAsia="Times New Roman" w:hAnsi="Times New Roman" w:cs="Times New Roman"/>
          <w:sz w:val="23"/>
          <w:szCs w:val="23"/>
        </w:rPr>
      </w:pPr>
    </w:p>
    <w:p w:rsidR="00160087" w:rsidRDefault="003C46D2" w:rsidP="00A01ABF">
      <w:pPr>
        <w:spacing w:line="200" w:lineRule="atLeast"/>
        <w:ind w:left="128"/>
        <w:jc w:val="both"/>
        <w:rPr>
          <w:rFonts w:ascii="Times New Roman" w:eastAsia="SimSun" w:hAnsi="Times New Roman" w:cs="Times New Roman"/>
          <w:sz w:val="20"/>
          <w:szCs w:val="20"/>
        </w:rPr>
      </w:pPr>
      <w:r>
        <w:rPr>
          <w:rFonts w:ascii="Times New Roman" w:eastAsia="SimSun" w:hAnsi="Times New Roman"/>
          <w:sz w:val="20"/>
          <w:szCs w:val="20"/>
        </w:rPr>
      </w:r>
      <w:r>
        <w:rPr>
          <w:rFonts w:ascii="Times New Roman" w:eastAsia="SimSun" w:hAnsi="Times New Roman"/>
          <w:sz w:val="20"/>
          <w:szCs w:val="20"/>
        </w:rPr>
        <w:pict>
          <v:group id="_x0000_s1026" style="width:115.1pt;height:12.6pt;mso-position-horizontal-relative:char;mso-position-vertical-relative:line" coordsize="2302,252">
            <o:lock v:ext="edit" rotation="t" position="t"/>
            <v:group id="_x0000_s1027" style="position:absolute;left:74;width:2154;height:252" coordorigin="74" coordsize="2154,252">
              <v:shape id="_x0000_s1029" style="position:absolute;left:74;width:2154;height:252" coordorigin="74" coordsize="2154,252" path="m74,252r2154,l2228,,74,r,252xe" fillcolor="#fffffa" stroked="f">
                <v:path arrowok="t"/>
              </v:shape>
              <v:shapetype id="_x0000_t202" coordsize="21600,21600" o:spt="202" path="m,l,21600r21600,l21600,xe">
                <v:stroke joinstyle="miter"/>
                <v:path gradientshapeok="t" o:connecttype="rect"/>
              </v:shapetype>
              <v:shape id="_x0000_s1028" type="#_x0000_t202" style="position:absolute;width:2302;height:252" filled="f" stroked="f">
                <v:textbox inset="0,0,0,0">
                  <w:txbxContent>
                    <w:p w:rsidR="003F3E57" w:rsidRDefault="003F3E57">
                      <w:pPr>
                        <w:spacing w:line="252" w:lineRule="exact"/>
                        <w:rPr>
                          <w:rFonts w:ascii="Arial" w:eastAsia="SimSun" w:hAnsi="Arial" w:cs="Arial"/>
                        </w:rPr>
                      </w:pPr>
                      <w:r>
                        <w:rPr>
                          <w:rFonts w:ascii="Arial" w:eastAsia="SimSun" w:hint="eastAsia"/>
                          <w:color w:val="333333"/>
                        </w:rPr>
                        <w:t>（</w:t>
                      </w:r>
                      <w:r>
                        <w:rPr>
                          <w:rFonts w:ascii="Arial" w:eastAsia="SimSun" w:hint="eastAsia"/>
                          <w:color w:val="2D2D2D"/>
                        </w:rPr>
                        <w:t>赞鲁替</w:t>
                      </w:r>
                      <w:r>
                        <w:rPr>
                          <w:rFonts w:ascii="Arial" w:eastAsia="SimSun" w:hint="eastAsia"/>
                        </w:rPr>
                        <w:t>尼</w:t>
                      </w:r>
                      <w:r>
                        <w:rPr>
                          <w:rFonts w:ascii="Arial" w:eastAsia="SimSun" w:hint="eastAsia"/>
                          <w:color w:val="333333"/>
                        </w:rPr>
                        <w:t>）</w:t>
                      </w:r>
                    </w:p>
                  </w:txbxContent>
                </v:textbox>
              </v:shape>
            </v:group>
            <w10:anchorlock/>
          </v:group>
        </w:pict>
      </w:r>
    </w:p>
    <w:p w:rsidR="00160087" w:rsidRDefault="00160087" w:rsidP="00A01ABF">
      <w:pPr>
        <w:spacing w:before="7"/>
        <w:jc w:val="both"/>
        <w:rPr>
          <w:rFonts w:ascii="Times New Roman" w:eastAsia="Times New Roman" w:hAnsi="Times New Roman" w:cs="Times New Roman"/>
          <w:sz w:val="6"/>
          <w:szCs w:val="6"/>
        </w:rPr>
      </w:pPr>
    </w:p>
    <w:p w:rsidR="00160087" w:rsidRDefault="003F3E57" w:rsidP="00A01ABF">
      <w:pPr>
        <w:tabs>
          <w:tab w:val="left" w:pos="2268"/>
        </w:tabs>
        <w:spacing w:before="72"/>
        <w:ind w:left="127"/>
        <w:jc w:val="both"/>
        <w:rPr>
          <w:rFonts w:ascii="Arial" w:eastAsia="SimSun" w:hAnsi="Arial" w:cs="Arial"/>
        </w:rPr>
      </w:pPr>
      <w:r>
        <w:rPr>
          <w:rFonts w:ascii="Arial" w:eastAsia="SimSun" w:hint="eastAsia"/>
          <w:b/>
        </w:rPr>
        <w:t>通用名：</w:t>
      </w:r>
      <w:r>
        <w:rPr>
          <w:rFonts w:ascii="Arial" w:eastAsia="SimSun" w:hAnsi="Arial" w:hint="eastAsia"/>
          <w:b/>
        </w:rPr>
        <w:t xml:space="preserve"> </w:t>
      </w:r>
      <w:r>
        <w:rPr>
          <w:rFonts w:ascii="Arial" w:eastAsia="SimSun" w:hAnsi="Arial" w:hint="eastAsia"/>
          <w:b/>
        </w:rPr>
        <w:tab/>
      </w:r>
      <w:proofErr w:type="spellStart"/>
      <w:r>
        <w:rPr>
          <w:rFonts w:ascii="Arial" w:eastAsia="SimSun" w:hint="eastAsia"/>
        </w:rPr>
        <w:t>zanubrutinib</w:t>
      </w:r>
      <w:proofErr w:type="spellEnd"/>
      <w:r>
        <w:rPr>
          <w:rFonts w:ascii="Arial" w:eastAsia="SimSun" w:hint="eastAsia"/>
        </w:rPr>
        <w:t>（赞鲁替尼）</w:t>
      </w:r>
    </w:p>
    <w:p w:rsidR="00160087" w:rsidRDefault="003F3E57" w:rsidP="00A01ABF">
      <w:pPr>
        <w:tabs>
          <w:tab w:val="left" w:pos="2288"/>
        </w:tabs>
        <w:spacing w:before="1" w:line="252" w:lineRule="exact"/>
        <w:ind w:left="127"/>
        <w:jc w:val="both"/>
        <w:rPr>
          <w:rFonts w:ascii="Arial" w:eastAsia="SimSun" w:hAnsi="Arial" w:cs="Arial"/>
        </w:rPr>
      </w:pPr>
      <w:r>
        <w:rPr>
          <w:rFonts w:ascii="Arial" w:eastAsia="SimSun" w:hAnsi="Arial" w:hint="eastAsia"/>
          <w:b/>
        </w:rPr>
        <w:t>商品名：</w:t>
      </w:r>
      <w:r>
        <w:rPr>
          <w:rFonts w:ascii="Arial" w:eastAsia="SimSun" w:hAnsi="Arial" w:hint="eastAsia"/>
          <w:b/>
        </w:rPr>
        <w:tab/>
      </w:r>
      <w:r>
        <w:rPr>
          <w:rFonts w:ascii="Arial" w:eastAsia="SimSun" w:hAnsi="Arial" w:hint="eastAsia"/>
          <w:color w:val="333333"/>
        </w:rPr>
        <w:t>百济神州</w:t>
      </w:r>
      <w:r>
        <w:rPr>
          <w:rFonts w:ascii="Arial" w:eastAsia="SimSun" w:hAnsi="Arial" w:hint="eastAsia"/>
          <w:color w:val="333333"/>
        </w:rPr>
        <w:t xml:space="preserve"> (</w:t>
      </w:r>
      <w:proofErr w:type="spellStart"/>
      <w:r>
        <w:rPr>
          <w:rFonts w:ascii="Arial" w:eastAsia="SimSun" w:hAnsi="Arial" w:hint="eastAsia"/>
          <w:color w:val="333333"/>
        </w:rPr>
        <w:t>BeiGene</w:t>
      </w:r>
      <w:proofErr w:type="spellEnd"/>
      <w:r>
        <w:rPr>
          <w:rFonts w:ascii="Arial" w:eastAsia="SimSun" w:hAnsi="Arial" w:hint="eastAsia"/>
          <w:color w:val="333333"/>
        </w:rPr>
        <w:t xml:space="preserve">) </w:t>
      </w:r>
      <w:r>
        <w:rPr>
          <w:rFonts w:ascii="Arial" w:eastAsia="SimSun" w:hAnsi="Arial" w:hint="eastAsia"/>
          <w:color w:val="333333"/>
        </w:rPr>
        <w:t>的</w:t>
      </w:r>
      <w:r>
        <w:rPr>
          <w:rFonts w:ascii="Arial" w:eastAsia="SimSun" w:hAnsi="Arial" w:hint="eastAsia"/>
          <w:color w:val="333333"/>
        </w:rPr>
        <w:t xml:space="preserve"> </w:t>
      </w:r>
      <w:proofErr w:type="spellStart"/>
      <w:r>
        <w:rPr>
          <w:rFonts w:ascii="Arial" w:eastAsia="SimSun" w:hAnsi="Arial" w:hint="eastAsia"/>
          <w:color w:val="333333"/>
        </w:rPr>
        <w:t>Brukinsa</w:t>
      </w:r>
      <w:proofErr w:type="spellEnd"/>
      <w:r>
        <w:rPr>
          <w:rFonts w:ascii="Arial" w:eastAsia="SimSun" w:hAnsi="Arial" w:hint="eastAsia"/>
          <w:color w:val="333333"/>
        </w:rPr>
        <w:t>®</w:t>
      </w:r>
    </w:p>
    <w:p w:rsidR="00160087" w:rsidRDefault="003F3E57" w:rsidP="00A01ABF">
      <w:pPr>
        <w:tabs>
          <w:tab w:val="left" w:pos="2288"/>
        </w:tabs>
        <w:spacing w:line="252" w:lineRule="exact"/>
        <w:ind w:left="127"/>
        <w:jc w:val="both"/>
        <w:rPr>
          <w:rFonts w:ascii="Arial" w:eastAsia="SimSun" w:hAnsi="Arial" w:cs="Arial"/>
        </w:rPr>
      </w:pPr>
      <w:r>
        <w:rPr>
          <w:rFonts w:ascii="Arial" w:eastAsia="SimSun" w:hint="eastAsia"/>
          <w:b/>
          <w:color w:val="333333"/>
        </w:rPr>
        <w:t>其他名称：</w:t>
      </w:r>
      <w:r>
        <w:rPr>
          <w:rFonts w:ascii="Arial" w:eastAsia="SimSun" w:hint="eastAsia"/>
          <w:b/>
          <w:color w:val="333333"/>
        </w:rPr>
        <w:tab/>
      </w:r>
      <w:r>
        <w:rPr>
          <w:rFonts w:ascii="Arial" w:eastAsia="SimSun" w:hint="eastAsia"/>
          <w:color w:val="333333"/>
        </w:rPr>
        <w:t>BGB-3111</w:t>
      </w:r>
    </w:p>
    <w:p w:rsidR="00160087" w:rsidRDefault="00160087" w:rsidP="00A01ABF">
      <w:pPr>
        <w:jc w:val="both"/>
        <w:rPr>
          <w:rFonts w:ascii="Arial" w:eastAsia="Arial" w:hAnsi="Arial" w:cs="Arial"/>
        </w:rPr>
      </w:pPr>
    </w:p>
    <w:p w:rsidR="00160087" w:rsidRDefault="00160087" w:rsidP="00A01ABF">
      <w:pPr>
        <w:spacing w:before="6"/>
        <w:jc w:val="both"/>
        <w:rPr>
          <w:rFonts w:ascii="Arial" w:eastAsia="Arial" w:hAnsi="Arial" w:cs="Arial"/>
          <w:sz w:val="24"/>
          <w:szCs w:val="24"/>
        </w:rPr>
      </w:pPr>
    </w:p>
    <w:p w:rsidR="00160087" w:rsidRPr="003F3E57" w:rsidRDefault="003F3E57" w:rsidP="00A01ABF">
      <w:pPr>
        <w:pStyle w:val="Corpsdetexte"/>
        <w:ind w:right="145"/>
        <w:jc w:val="both"/>
        <w:rPr>
          <w:spacing w:val="-1"/>
        </w:rPr>
      </w:pPr>
      <w:r>
        <w:rPr>
          <w:rFonts w:hint="eastAsia"/>
          <w:b/>
          <w:color w:val="333333"/>
        </w:rPr>
        <w:t>药物类型：</w:t>
      </w:r>
      <w:proofErr w:type="spellStart"/>
      <w:r>
        <w:rPr>
          <w:rFonts w:hint="eastAsia"/>
        </w:rPr>
        <w:t>zanubrutinib</w:t>
      </w:r>
      <w:proofErr w:type="spellEnd"/>
      <w:r>
        <w:rPr>
          <w:rFonts w:hint="eastAsia"/>
        </w:rPr>
        <w:t>（赞鲁替尼）是一种靶向治疗用药。靶向治疗是经多年研究的结果，这些研究旨在了解癌细胞和正常细胞间的差异。这些研究信息是用于开发一种疗法，其在攻击癌细胞的同时，将对正常细胞的损害降到最小，同时减少副作用。每种靶向治疗的原理各有些许差异，但都会干扰癌细胞生长、分裂、修复，和</w:t>
      </w:r>
      <w:r>
        <w:rPr>
          <w:rFonts w:hint="eastAsia"/>
        </w:rPr>
        <w:t>/</w:t>
      </w:r>
      <w:r>
        <w:rPr>
          <w:rFonts w:hint="eastAsia"/>
        </w:rPr>
        <w:t>或与其他细胞交流的能力。</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proofErr w:type="spellStart"/>
      <w:r>
        <w:rPr>
          <w:rFonts w:hint="eastAsia"/>
        </w:rPr>
        <w:t>zanubrutinib</w:t>
      </w:r>
      <w:proofErr w:type="spellEnd"/>
      <w:r>
        <w:rPr>
          <w:rFonts w:hint="eastAsia"/>
        </w:rPr>
        <w:t>（赞鲁替尼）</w:t>
      </w:r>
      <w:r>
        <w:rPr>
          <w:rFonts w:hint="eastAsia"/>
        </w:rPr>
        <w:t>,</w:t>
      </w:r>
      <w:r>
        <w:rPr>
          <w:rFonts w:hint="eastAsia"/>
        </w:rPr>
        <w:t>与</w:t>
      </w:r>
      <w:r>
        <w:rPr>
          <w:rFonts w:hint="eastAsia"/>
        </w:rPr>
        <w:t xml:space="preserve"> ibrutinib</w:t>
      </w:r>
      <w:r>
        <w:rPr>
          <w:rFonts w:hint="eastAsia"/>
        </w:rPr>
        <w:t>（依鲁替尼，目前唯一经美国食品和药物管理局</w:t>
      </w:r>
      <w:r>
        <w:rPr>
          <w:rFonts w:hint="eastAsia"/>
        </w:rPr>
        <w:t xml:space="preserve"> (FDA) </w:t>
      </w:r>
      <w:r>
        <w:rPr>
          <w:rFonts w:hint="eastAsia"/>
        </w:rPr>
        <w:t>批准可用于治疗华氏巨球蛋白血症</w:t>
      </w:r>
      <w:r>
        <w:rPr>
          <w:rFonts w:hint="eastAsia"/>
        </w:rPr>
        <w:t xml:space="preserve"> ([WM]) </w:t>
      </w:r>
      <w:r>
        <w:rPr>
          <w:rFonts w:hint="eastAsia"/>
        </w:rPr>
        <w:t>的药物）及</w:t>
      </w:r>
      <w:r>
        <w:rPr>
          <w:rFonts w:hint="eastAsia"/>
        </w:rPr>
        <w:t xml:space="preserve"> </w:t>
      </w:r>
      <w:proofErr w:type="spellStart"/>
      <w:r>
        <w:rPr>
          <w:rFonts w:hint="eastAsia"/>
        </w:rPr>
        <w:t>acalabrutinib</w:t>
      </w:r>
      <w:proofErr w:type="spellEnd"/>
      <w:r>
        <w:rPr>
          <w:rFonts w:hint="eastAsia"/>
        </w:rPr>
        <w:t>（阿卡替尼）一样，能够抑制布鲁顿氏酪氨酸激酶</w:t>
      </w:r>
      <w:r>
        <w:rPr>
          <w:rFonts w:hint="eastAsia"/>
        </w:rPr>
        <w:t xml:space="preserve"> (</w:t>
      </w:r>
      <w:proofErr w:type="spellStart"/>
      <w:r>
        <w:rPr>
          <w:rFonts w:hint="eastAsia"/>
        </w:rPr>
        <w:t>BTK</w:t>
      </w:r>
      <w:proofErr w:type="spellEnd"/>
      <w:r>
        <w:rPr>
          <w:rFonts w:hint="eastAsia"/>
        </w:rPr>
        <w:t>)</w:t>
      </w:r>
      <w:r>
        <w:rPr>
          <w:rFonts w:hint="eastAsia"/>
        </w:rPr>
        <w:t>。</w:t>
      </w:r>
      <w:proofErr w:type="spellStart"/>
      <w:r>
        <w:rPr>
          <w:rFonts w:hint="eastAsia"/>
        </w:rPr>
        <w:t>BTK</w:t>
      </w:r>
      <w:proofErr w:type="spellEnd"/>
      <w:r>
        <w:rPr>
          <w:rFonts w:hint="eastAsia"/>
        </w:rPr>
        <w:t xml:space="preserve"> </w:t>
      </w:r>
      <w:r>
        <w:rPr>
          <w:rFonts w:hint="eastAsia"/>
        </w:rPr>
        <w:t>是</w:t>
      </w:r>
      <w:r>
        <w:rPr>
          <w:rFonts w:hint="eastAsia"/>
        </w:rPr>
        <w:t xml:space="preserve"> B </w:t>
      </w:r>
      <w:r>
        <w:rPr>
          <w:rFonts w:hint="eastAsia"/>
        </w:rPr>
        <w:t>细胞受体信号传递复合物的关键信号分子，该复合物在恶性</w:t>
      </w:r>
      <w:r>
        <w:rPr>
          <w:rFonts w:hint="eastAsia"/>
        </w:rPr>
        <w:t xml:space="preserve"> B </w:t>
      </w:r>
      <w:r>
        <w:rPr>
          <w:rFonts w:hint="eastAsia"/>
        </w:rPr>
        <w:t>细胞的存活中起着重要作用。</w:t>
      </w:r>
      <w:proofErr w:type="spellStart"/>
      <w:r>
        <w:rPr>
          <w:rFonts w:hint="eastAsia"/>
        </w:rPr>
        <w:t>zanubrutinib</w:t>
      </w:r>
      <w:proofErr w:type="spellEnd"/>
      <w:r>
        <w:rPr>
          <w:rFonts w:hint="eastAsia"/>
        </w:rPr>
        <w:t>（赞鲁替尼）可以阻断会刺激</w:t>
      </w:r>
      <w:r>
        <w:rPr>
          <w:rFonts w:hint="eastAsia"/>
        </w:rPr>
        <w:t xml:space="preserve"> B </w:t>
      </w:r>
      <w:r>
        <w:rPr>
          <w:rFonts w:hint="eastAsia"/>
        </w:rPr>
        <w:t>细胞失控式生长和分裂的信号。</w:t>
      </w:r>
    </w:p>
    <w:p w:rsidR="00160087" w:rsidRDefault="00160087" w:rsidP="00A01ABF">
      <w:pPr>
        <w:spacing w:before="6"/>
        <w:jc w:val="both"/>
        <w:rPr>
          <w:rFonts w:ascii="Arial" w:eastAsia="Arial" w:hAnsi="Arial" w:cs="Arial"/>
          <w:sz w:val="24"/>
          <w:szCs w:val="24"/>
        </w:rPr>
      </w:pPr>
    </w:p>
    <w:p w:rsidR="00160087" w:rsidRDefault="003F3E57" w:rsidP="00A01ABF">
      <w:pPr>
        <w:pStyle w:val="Titre1"/>
        <w:spacing w:line="252" w:lineRule="exact"/>
        <w:jc w:val="both"/>
        <w:rPr>
          <w:b w:val="0"/>
          <w:bCs w:val="0"/>
        </w:rPr>
      </w:pPr>
      <w:proofErr w:type="spellStart"/>
      <w:r>
        <w:rPr>
          <w:rFonts w:hint="eastAsia"/>
        </w:rPr>
        <w:t>zanubrutinib</w:t>
      </w:r>
      <w:proofErr w:type="spellEnd"/>
      <w:r>
        <w:rPr>
          <w:rFonts w:hint="eastAsia"/>
        </w:rPr>
        <w:t>（赞鲁替尼）适用症：</w:t>
      </w:r>
    </w:p>
    <w:p w:rsidR="00160087" w:rsidRPr="003F3E57" w:rsidRDefault="003F3E57" w:rsidP="00A01ABF">
      <w:pPr>
        <w:pStyle w:val="Corpsdetexte"/>
        <w:ind w:right="145"/>
        <w:jc w:val="both"/>
        <w:rPr>
          <w:spacing w:val="-1"/>
        </w:rPr>
      </w:pPr>
      <w:proofErr w:type="spellStart"/>
      <w:r>
        <w:rPr>
          <w:rFonts w:hint="eastAsia"/>
        </w:rPr>
        <w:t>zanubrutinib</w:t>
      </w:r>
      <w:proofErr w:type="spellEnd"/>
      <w:r>
        <w:rPr>
          <w:rFonts w:hint="eastAsia"/>
        </w:rPr>
        <w:t>（赞鲁替尼）已经</w:t>
      </w:r>
      <w:r>
        <w:rPr>
          <w:rFonts w:hint="eastAsia"/>
        </w:rPr>
        <w:t xml:space="preserve"> FDA </w:t>
      </w:r>
      <w:r>
        <w:rPr>
          <w:rFonts w:hint="eastAsia"/>
        </w:rPr>
        <w:t>批准用于治疗患有套细胞淋巴瘤</w:t>
      </w:r>
      <w:r>
        <w:rPr>
          <w:rFonts w:hint="eastAsia"/>
        </w:rPr>
        <w:t xml:space="preserve"> (MCL) </w:t>
      </w:r>
      <w:r>
        <w:rPr>
          <w:rFonts w:hint="eastAsia"/>
        </w:rPr>
        <w:t>且之前曾接受过至少一次治疗的患者。</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未经</w:t>
      </w:r>
      <w:r>
        <w:rPr>
          <w:rFonts w:hint="eastAsia"/>
        </w:rPr>
        <w:t xml:space="preserve"> FDA </w:t>
      </w:r>
      <w:r>
        <w:rPr>
          <w:rFonts w:hint="eastAsia"/>
        </w:rPr>
        <w:t>明确批准将</w:t>
      </w:r>
      <w:r>
        <w:rPr>
          <w:rFonts w:hint="eastAsia"/>
        </w:rPr>
        <w:t xml:space="preserve"> </w:t>
      </w:r>
      <w:proofErr w:type="spellStart"/>
      <w:r>
        <w:rPr>
          <w:rFonts w:hint="eastAsia"/>
        </w:rPr>
        <w:t>zanubrutinib</w:t>
      </w:r>
      <w:proofErr w:type="spellEnd"/>
      <w:r>
        <w:rPr>
          <w:rFonts w:hint="eastAsia"/>
        </w:rPr>
        <w:t>（赞鲁替尼）用于治疗</w:t>
      </w:r>
      <w:r>
        <w:rPr>
          <w:rFonts w:hint="eastAsia"/>
        </w:rPr>
        <w:t xml:space="preserve"> WM</w:t>
      </w:r>
      <w:r>
        <w:rPr>
          <w:rFonts w:hint="eastAsia"/>
        </w:rPr>
        <w:t>，将其用于为</w:t>
      </w:r>
      <w:r>
        <w:rPr>
          <w:rFonts w:hint="eastAsia"/>
        </w:rPr>
        <w:t xml:space="preserve"> WM </w:t>
      </w:r>
      <w:r>
        <w:rPr>
          <w:rFonts w:hint="eastAsia"/>
        </w:rPr>
        <w:t>患者开具“核准标示外使用”处方，意味着将药物用于未经批准的适应症或未经批准的年龄组、剂量或给药途径。可开具处方将药物用于超出官方批准的适应症用药，这种现象在医学界较为常见，可包括除</w:t>
      </w:r>
      <w:r>
        <w:rPr>
          <w:rFonts w:hint="eastAsia"/>
        </w:rPr>
        <w:t xml:space="preserve"> ibrutinib</w:t>
      </w:r>
      <w:r>
        <w:rPr>
          <w:rFonts w:hint="eastAsia"/>
        </w:rPr>
        <w:t>（依鲁替尼）和</w:t>
      </w:r>
      <w:r>
        <w:rPr>
          <w:rFonts w:hint="eastAsia"/>
        </w:rPr>
        <w:t xml:space="preserve"> ibrutinib</w:t>
      </w:r>
      <w:r>
        <w:rPr>
          <w:rFonts w:hint="eastAsia"/>
        </w:rPr>
        <w:t>（依鲁替尼）</w:t>
      </w:r>
      <w:r>
        <w:rPr>
          <w:rFonts w:hint="eastAsia"/>
        </w:rPr>
        <w:t>/rituximab</w:t>
      </w:r>
      <w:r>
        <w:rPr>
          <w:rFonts w:hint="eastAsia"/>
        </w:rPr>
        <w:t>（利妥昔单抗）组合外的大多数用于治疗</w:t>
      </w:r>
      <w:r>
        <w:rPr>
          <w:rFonts w:hint="eastAsia"/>
        </w:rPr>
        <w:t xml:space="preserve"> WM </w:t>
      </w:r>
      <w:r>
        <w:rPr>
          <w:rFonts w:hint="eastAsia"/>
        </w:rPr>
        <w:t>的其他药物。</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 xml:space="preserve">WM </w:t>
      </w:r>
      <w:r>
        <w:rPr>
          <w:rFonts w:hint="eastAsia"/>
        </w:rPr>
        <w:t>患者在治疗之后的一段时期内出现的病情稳定、病情状态改善或疾病不幸发生进展被称为“反应”。虽然通常疾病状况改善被称为“缓解”，但首选的科学术语是“反应”。</w:t>
      </w:r>
      <w:r>
        <w:rPr>
          <w:rFonts w:hint="eastAsia"/>
        </w:rPr>
        <w:t xml:space="preserve">WM </w:t>
      </w:r>
      <w:r>
        <w:rPr>
          <w:rFonts w:hint="eastAsia"/>
        </w:rPr>
        <w:t>患者对治疗的反应和反应持续时间不尽相同。目前，没有能够准确预测个体患者的反应或反应时长的方法。</w:t>
      </w:r>
      <w:r>
        <w:rPr>
          <w:rFonts w:hint="eastAsia"/>
        </w:rPr>
        <w:t xml:space="preserve">WM </w:t>
      </w:r>
      <w:r>
        <w:rPr>
          <w:rFonts w:hint="eastAsia"/>
        </w:rPr>
        <w:t>研究人员的目标之一是根据每个人的疾病生物学和独特的基因组成的变化，更准确地确定患者对特定治疗的反应。</w:t>
      </w:r>
    </w:p>
    <w:p w:rsidR="00160087" w:rsidRPr="003F3E57" w:rsidRDefault="00160087" w:rsidP="00A01ABF">
      <w:pPr>
        <w:pStyle w:val="Corpsdetexte"/>
        <w:ind w:right="145"/>
        <w:jc w:val="both"/>
        <w:rPr>
          <w:spacing w:val="-1"/>
        </w:rPr>
      </w:pPr>
    </w:p>
    <w:p w:rsidR="00160087" w:rsidRDefault="003F3E57" w:rsidP="00A01ABF">
      <w:pPr>
        <w:pStyle w:val="Corpsdetexte"/>
        <w:ind w:right="145"/>
        <w:jc w:val="both"/>
      </w:pPr>
      <w:r>
        <w:rPr>
          <w:rFonts w:hint="eastAsia"/>
        </w:rPr>
        <w:t>在一项针对</w:t>
      </w:r>
      <w:r>
        <w:rPr>
          <w:rFonts w:hint="eastAsia"/>
        </w:rPr>
        <w:t xml:space="preserve"> WM </w:t>
      </w:r>
      <w:r>
        <w:rPr>
          <w:rFonts w:hint="eastAsia"/>
        </w:rPr>
        <w:t>患者的</w:t>
      </w:r>
      <w:r>
        <w:rPr>
          <w:rFonts w:hint="eastAsia"/>
        </w:rPr>
        <w:t xml:space="preserve"> I </w:t>
      </w:r>
      <w:r>
        <w:rPr>
          <w:rFonts w:hint="eastAsia"/>
        </w:rPr>
        <w:t>期研究中，</w:t>
      </w:r>
      <w:proofErr w:type="spellStart"/>
      <w:r>
        <w:rPr>
          <w:rFonts w:hint="eastAsia"/>
        </w:rPr>
        <w:t>zanubrutinib</w:t>
      </w:r>
      <w:proofErr w:type="spellEnd"/>
      <w:r>
        <w:rPr>
          <w:rFonts w:hint="eastAsia"/>
        </w:rPr>
        <w:t>（赞鲁替尼）的总反应率</w:t>
      </w:r>
      <w:r>
        <w:rPr>
          <w:rFonts w:hint="eastAsia"/>
        </w:rPr>
        <w:t xml:space="preserve"> (ORR) </w:t>
      </w:r>
      <w:r>
        <w:rPr>
          <w:rFonts w:hint="eastAsia"/>
        </w:rPr>
        <w:t>为</w:t>
      </w:r>
      <w:r>
        <w:rPr>
          <w:rFonts w:hint="eastAsia"/>
        </w:rPr>
        <w:t xml:space="preserve"> 92%</w:t>
      </w:r>
      <w:r>
        <w:rPr>
          <w:rFonts w:hint="eastAsia"/>
        </w:rPr>
        <w:t>，良好部分反应率</w:t>
      </w:r>
      <w:r>
        <w:rPr>
          <w:rFonts w:hint="eastAsia"/>
        </w:rPr>
        <w:t xml:space="preserve"> (</w:t>
      </w:r>
      <w:proofErr w:type="spellStart"/>
      <w:r>
        <w:rPr>
          <w:rFonts w:hint="eastAsia"/>
        </w:rPr>
        <w:t>VGPR</w:t>
      </w:r>
      <w:proofErr w:type="spellEnd"/>
      <w:r>
        <w:rPr>
          <w:rFonts w:hint="eastAsia"/>
        </w:rPr>
        <w:t xml:space="preserve">) </w:t>
      </w:r>
      <w:r>
        <w:rPr>
          <w:rFonts w:hint="eastAsia"/>
        </w:rPr>
        <w:t>为</w:t>
      </w:r>
      <w:r>
        <w:rPr>
          <w:rFonts w:hint="eastAsia"/>
        </w:rPr>
        <w:t xml:space="preserve"> 43%</w:t>
      </w:r>
      <w:r>
        <w:rPr>
          <w:rFonts w:hint="eastAsia"/>
        </w:rPr>
        <w:t>，且具有良好的安全性和耐受性。在澳大利亚、欧洲和美国的</w:t>
      </w:r>
      <w:r>
        <w:rPr>
          <w:rFonts w:hint="eastAsia"/>
        </w:rPr>
        <w:t xml:space="preserve"> 61 </w:t>
      </w:r>
      <w:r>
        <w:rPr>
          <w:rFonts w:hint="eastAsia"/>
        </w:rPr>
        <w:t>个中心对</w:t>
      </w:r>
      <w:r>
        <w:rPr>
          <w:rFonts w:hint="eastAsia"/>
        </w:rPr>
        <w:t xml:space="preserve"> 229 </w:t>
      </w:r>
      <w:r>
        <w:rPr>
          <w:rFonts w:hint="eastAsia"/>
        </w:rPr>
        <w:t>名复发性</w:t>
      </w:r>
      <w:r>
        <w:rPr>
          <w:rFonts w:hint="eastAsia"/>
        </w:rPr>
        <w:t>/</w:t>
      </w:r>
      <w:r>
        <w:rPr>
          <w:rFonts w:hint="eastAsia"/>
        </w:rPr>
        <w:t>难治性</w:t>
      </w:r>
      <w:r>
        <w:rPr>
          <w:rFonts w:hint="eastAsia"/>
        </w:rPr>
        <w:t xml:space="preserve"> (R/R) </w:t>
      </w:r>
      <w:r>
        <w:rPr>
          <w:rFonts w:hint="eastAsia"/>
        </w:rPr>
        <w:t>或诊断后尚未开始治疗的</w:t>
      </w:r>
      <w:r>
        <w:rPr>
          <w:rFonts w:hint="eastAsia"/>
        </w:rPr>
        <w:t xml:space="preserve"> WM </w:t>
      </w:r>
      <w:r>
        <w:rPr>
          <w:rFonts w:hint="eastAsia"/>
        </w:rPr>
        <w:t>患者进行了一项大规模的头对头多中心</w:t>
      </w:r>
      <w:r>
        <w:rPr>
          <w:rFonts w:hint="eastAsia"/>
        </w:rPr>
        <w:t xml:space="preserve"> III </w:t>
      </w:r>
      <w:r>
        <w:rPr>
          <w:rFonts w:hint="eastAsia"/>
        </w:rPr>
        <w:t>期临床试验，将</w:t>
      </w:r>
      <w:r>
        <w:rPr>
          <w:rFonts w:hint="eastAsia"/>
        </w:rPr>
        <w:t xml:space="preserve"> </w:t>
      </w:r>
      <w:proofErr w:type="spellStart"/>
      <w:r>
        <w:rPr>
          <w:rFonts w:hint="eastAsia"/>
        </w:rPr>
        <w:t>zanubrutinib</w:t>
      </w:r>
      <w:proofErr w:type="spellEnd"/>
      <w:r>
        <w:rPr>
          <w:rFonts w:hint="eastAsia"/>
        </w:rPr>
        <w:t>（赞鲁替尼）和</w:t>
      </w:r>
      <w:r>
        <w:rPr>
          <w:rFonts w:hint="eastAsia"/>
        </w:rPr>
        <w:t xml:space="preserve"> ibrutinib</w:t>
      </w:r>
      <w:r>
        <w:rPr>
          <w:rFonts w:hint="eastAsia"/>
        </w:rPr>
        <w:t>（依鲁替尼）作为单药治疗进行了比较。虽然该试验未证实与</w:t>
      </w:r>
      <w:r>
        <w:rPr>
          <w:rFonts w:hint="eastAsia"/>
        </w:rPr>
        <w:t xml:space="preserve"> ibrutinib</w:t>
      </w:r>
      <w:r>
        <w:rPr>
          <w:rFonts w:hint="eastAsia"/>
        </w:rPr>
        <w:t>（依鲁替尼）相比，</w:t>
      </w:r>
      <w:proofErr w:type="spellStart"/>
      <w:r>
        <w:rPr>
          <w:rFonts w:hint="eastAsia"/>
        </w:rPr>
        <w:t>zanubrutinib</w:t>
      </w:r>
      <w:proofErr w:type="spellEnd"/>
      <w:r>
        <w:rPr>
          <w:rFonts w:hint="eastAsia"/>
        </w:rPr>
        <w:t>（赞鲁替尼）在总反应率</w:t>
      </w:r>
      <w:r>
        <w:rPr>
          <w:rFonts w:hint="eastAsia"/>
        </w:rPr>
        <w:t xml:space="preserve"> (ORR)</w:t>
      </w:r>
      <w:r>
        <w:rPr>
          <w:rFonts w:hint="eastAsia"/>
        </w:rPr>
        <w:t>、重大反应率</w:t>
      </w:r>
      <w:r>
        <w:rPr>
          <w:rFonts w:hint="eastAsia"/>
        </w:rPr>
        <w:t xml:space="preserve"> (MR) </w:t>
      </w:r>
      <w:r>
        <w:rPr>
          <w:rFonts w:hint="eastAsia"/>
        </w:rPr>
        <w:t>和良好部分反应率</w:t>
      </w:r>
      <w:r>
        <w:rPr>
          <w:rFonts w:hint="eastAsia"/>
        </w:rPr>
        <w:t xml:space="preserve"> (</w:t>
      </w:r>
      <w:proofErr w:type="spellStart"/>
      <w:r>
        <w:rPr>
          <w:rFonts w:hint="eastAsia"/>
        </w:rPr>
        <w:t>VGPR</w:t>
      </w:r>
      <w:proofErr w:type="spellEnd"/>
      <w:r>
        <w:rPr>
          <w:rFonts w:hint="eastAsia"/>
        </w:rPr>
        <w:t xml:space="preserve">) </w:t>
      </w:r>
      <w:r>
        <w:rPr>
          <w:rFonts w:hint="eastAsia"/>
        </w:rPr>
        <w:t>方面具有显著统计学优势，但与</w:t>
      </w:r>
      <w:r>
        <w:rPr>
          <w:rFonts w:hint="eastAsia"/>
        </w:rPr>
        <w:t xml:space="preserve"> ibrutinib</w:t>
      </w:r>
      <w:r>
        <w:rPr>
          <w:rFonts w:hint="eastAsia"/>
        </w:rPr>
        <w:t>（依鲁替尼）相比</w:t>
      </w:r>
      <w:r>
        <w:rPr>
          <w:rFonts w:hint="eastAsia"/>
        </w:rPr>
        <w:t xml:space="preserve"> </w:t>
      </w:r>
      <w:proofErr w:type="spellStart"/>
      <w:r>
        <w:rPr>
          <w:rFonts w:hint="eastAsia"/>
        </w:rPr>
        <w:t>zanubrutinib</w:t>
      </w:r>
      <w:proofErr w:type="spellEnd"/>
      <w:r>
        <w:rPr>
          <w:rFonts w:hint="eastAsia"/>
        </w:rPr>
        <w:t>（赞鲁替尼）的</w:t>
      </w:r>
      <w:r>
        <w:rPr>
          <w:rFonts w:hint="eastAsia"/>
        </w:rPr>
        <w:t xml:space="preserve"> </w:t>
      </w:r>
      <w:proofErr w:type="spellStart"/>
      <w:r>
        <w:rPr>
          <w:rFonts w:hint="eastAsia"/>
        </w:rPr>
        <w:t>VGPR</w:t>
      </w:r>
      <w:proofErr w:type="spellEnd"/>
      <w:r>
        <w:rPr>
          <w:rFonts w:hint="eastAsia"/>
        </w:rPr>
        <w:t xml:space="preserve"> </w:t>
      </w:r>
      <w:r>
        <w:rPr>
          <w:rFonts w:hint="eastAsia"/>
        </w:rPr>
        <w:t>确实更高（</w:t>
      </w:r>
      <w:r>
        <w:rPr>
          <w:rFonts w:hint="eastAsia"/>
        </w:rPr>
        <w:t xml:space="preserve">28.4% </w:t>
      </w:r>
      <w:r>
        <w:rPr>
          <w:rFonts w:hint="eastAsia"/>
        </w:rPr>
        <w:t>对比</w:t>
      </w:r>
      <w:r>
        <w:rPr>
          <w:rFonts w:hint="eastAsia"/>
        </w:rPr>
        <w:t xml:space="preserve"> 19.2%</w:t>
      </w:r>
      <w:r>
        <w:rPr>
          <w:rFonts w:hint="eastAsia"/>
        </w:rPr>
        <w:t>），并且在</w:t>
      </w:r>
      <w:r>
        <w:rPr>
          <w:rFonts w:hint="eastAsia"/>
        </w:rPr>
        <w:t xml:space="preserve"> </w:t>
      </w:r>
      <w:proofErr w:type="spellStart"/>
      <w:r>
        <w:rPr>
          <w:rFonts w:hint="eastAsia"/>
        </w:rPr>
        <w:t>BTK</w:t>
      </w:r>
      <w:proofErr w:type="spellEnd"/>
      <w:r>
        <w:rPr>
          <w:rFonts w:hint="eastAsia"/>
        </w:rPr>
        <w:t xml:space="preserve"> </w:t>
      </w:r>
      <w:r>
        <w:rPr>
          <w:rFonts w:hint="eastAsia"/>
        </w:rPr>
        <w:t>抑制剂类的首次随机比较试验中，其安全性和耐受性显示出了持续改善。截至本出版物公布之日，这些</w:t>
      </w:r>
      <w:r>
        <w:rPr>
          <w:rFonts w:hint="eastAsia"/>
        </w:rPr>
        <w:t xml:space="preserve"> III </w:t>
      </w:r>
      <w:r>
        <w:rPr>
          <w:rFonts w:hint="eastAsia"/>
        </w:rPr>
        <w:t>期结果尚未得到同行审核，亦未公布。还需进一步检测来确认该结果否属实，以及</w:t>
      </w:r>
      <w:r>
        <w:rPr>
          <w:rFonts w:hint="eastAsia"/>
        </w:rPr>
        <w:t xml:space="preserve"> </w:t>
      </w:r>
      <w:proofErr w:type="spellStart"/>
      <w:r>
        <w:rPr>
          <w:rFonts w:hint="eastAsia"/>
        </w:rPr>
        <w:t>zanubrutinib</w:t>
      </w:r>
      <w:proofErr w:type="spellEnd"/>
      <w:r>
        <w:rPr>
          <w:rFonts w:hint="eastAsia"/>
        </w:rPr>
        <w:t>（赞鲁替尼）联合疗法是否能够改善</w:t>
      </w:r>
      <w:r>
        <w:rPr>
          <w:rFonts w:hint="eastAsia"/>
        </w:rPr>
        <w:t xml:space="preserve"> WM </w:t>
      </w:r>
      <w:r>
        <w:rPr>
          <w:rFonts w:hint="eastAsia"/>
        </w:rPr>
        <w:t>患者的预后。此外，有一例病案报告显示</w:t>
      </w:r>
      <w:r>
        <w:rPr>
          <w:rFonts w:hint="eastAsia"/>
        </w:rPr>
        <w:t xml:space="preserve"> </w:t>
      </w:r>
      <w:proofErr w:type="spellStart"/>
      <w:r>
        <w:rPr>
          <w:rFonts w:hint="eastAsia"/>
        </w:rPr>
        <w:t>zanubrutinib</w:t>
      </w:r>
      <w:proofErr w:type="spellEnd"/>
      <w:r>
        <w:rPr>
          <w:rFonts w:hint="eastAsia"/>
        </w:rPr>
        <w:t>（赞鲁替尼）有效治疗了一名</w:t>
      </w:r>
      <w:r>
        <w:rPr>
          <w:rFonts w:hint="eastAsia"/>
        </w:rPr>
        <w:t xml:space="preserve"> Bing-Neel </w:t>
      </w:r>
      <w:r>
        <w:rPr>
          <w:rFonts w:hint="eastAsia"/>
        </w:rPr>
        <w:t>综合征患者。</w:t>
      </w:r>
    </w:p>
    <w:p w:rsidR="00160087" w:rsidRDefault="00160087" w:rsidP="00A01ABF">
      <w:pPr>
        <w:spacing w:before="4"/>
        <w:jc w:val="both"/>
        <w:rPr>
          <w:rFonts w:ascii="Arial" w:eastAsia="Arial" w:hAnsi="Arial" w:cs="Arial"/>
          <w:sz w:val="24"/>
          <w:szCs w:val="24"/>
        </w:rPr>
      </w:pPr>
    </w:p>
    <w:p w:rsidR="00160087" w:rsidRDefault="003F3E57" w:rsidP="00A01ABF">
      <w:pPr>
        <w:pStyle w:val="Corpsdetexte"/>
        <w:jc w:val="both"/>
      </w:pPr>
      <w:r>
        <w:rPr>
          <w:rFonts w:hint="eastAsia"/>
        </w:rPr>
        <w:lastRenderedPageBreak/>
        <w:t>表</w:t>
      </w:r>
      <w:r>
        <w:rPr>
          <w:rFonts w:hint="eastAsia"/>
        </w:rPr>
        <w:t xml:space="preserve"> 1.zanubrutinib</w:t>
      </w:r>
      <w:r>
        <w:rPr>
          <w:rFonts w:hint="eastAsia"/>
        </w:rPr>
        <w:t>（赞鲁替尼）单药治疗</w:t>
      </w:r>
      <w:r>
        <w:rPr>
          <w:rFonts w:hint="eastAsia"/>
        </w:rPr>
        <w:t xml:space="preserve"> I </w:t>
      </w:r>
      <w:r>
        <w:rPr>
          <w:rFonts w:hint="eastAsia"/>
        </w:rPr>
        <w:t>期临床试验</w:t>
      </w:r>
    </w:p>
    <w:tbl>
      <w:tblPr>
        <w:tblStyle w:val="TableNormal"/>
        <w:tblW w:w="0" w:type="auto"/>
        <w:tblInd w:w="126" w:type="dxa"/>
        <w:tblLayout w:type="fixed"/>
        <w:tblLook w:val="01E0" w:firstRow="1" w:lastRow="1" w:firstColumn="1" w:lastColumn="1" w:noHBand="0" w:noVBand="0"/>
      </w:tblPr>
      <w:tblGrid>
        <w:gridCol w:w="7758"/>
        <w:gridCol w:w="2295"/>
      </w:tblGrid>
      <w:tr w:rsidR="00160087" w:rsidTr="00211C58">
        <w:trPr>
          <w:trHeight w:hRule="exact" w:val="1140"/>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 xml:space="preserve">WM </w:t>
            </w:r>
            <w:r>
              <w:rPr>
                <w:rFonts w:ascii="Arial" w:eastAsia="SimSun" w:hint="eastAsia"/>
              </w:rPr>
              <w:t>反应标准（修改自第六届</w:t>
            </w:r>
            <w:r>
              <w:rPr>
                <w:rFonts w:ascii="Arial" w:eastAsia="SimSun" w:hint="eastAsia"/>
              </w:rPr>
              <w:t xml:space="preserve"> WM </w:t>
            </w:r>
            <w:r>
              <w:rPr>
                <w:rFonts w:ascii="Arial" w:eastAsia="SimSun" w:hint="eastAsia"/>
              </w:rPr>
              <w:t>国际研讨会）</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proofErr w:type="spellStart"/>
            <w:r>
              <w:rPr>
                <w:rFonts w:ascii="Arial" w:eastAsia="SimSun" w:hint="eastAsia"/>
              </w:rPr>
              <w:t>zanubrutinib</w:t>
            </w:r>
            <w:proofErr w:type="spellEnd"/>
            <w:r>
              <w:rPr>
                <w:rFonts w:ascii="Arial" w:eastAsia="SimSun" w:hint="eastAsia"/>
              </w:rPr>
              <w:t>（赞鲁替尼）</w:t>
            </w:r>
          </w:p>
          <w:p w:rsidR="00160087" w:rsidRDefault="003F3E57" w:rsidP="00A01ABF">
            <w:pPr>
              <w:pStyle w:val="TableParagraph"/>
              <w:ind w:left="102" w:right="133"/>
              <w:jc w:val="both"/>
              <w:rPr>
                <w:rFonts w:ascii="Arial" w:eastAsia="SimSun" w:hAnsi="Arial" w:cs="Arial"/>
              </w:rPr>
            </w:pPr>
            <w:r>
              <w:rPr>
                <w:rFonts w:ascii="Arial" w:eastAsia="SimSun" w:hint="eastAsia"/>
              </w:rPr>
              <w:t>中位随访时间（</w:t>
            </w:r>
            <w:r>
              <w:rPr>
                <w:rFonts w:ascii="Arial" w:eastAsia="SimSun" w:hint="eastAsia"/>
              </w:rPr>
              <w:t xml:space="preserve">24 </w:t>
            </w:r>
            <w:r>
              <w:rPr>
                <w:rFonts w:ascii="Arial" w:eastAsia="SimSun" w:hint="eastAsia"/>
              </w:rPr>
              <w:t>个月）</w:t>
            </w:r>
          </w:p>
        </w:tc>
      </w:tr>
      <w:tr w:rsidR="00160087">
        <w:trPr>
          <w:trHeight w:hRule="exact" w:val="768"/>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总反应率</w:t>
            </w:r>
            <w:r>
              <w:rPr>
                <w:rFonts w:ascii="Arial" w:eastAsia="SimSun" w:hint="eastAsia"/>
              </w:rPr>
              <w:t xml:space="preserve"> (ORR)</w:t>
            </w:r>
          </w:p>
          <w:p w:rsidR="00160087" w:rsidRDefault="003F3E57" w:rsidP="00A01ABF">
            <w:pPr>
              <w:pStyle w:val="TableParagraph"/>
              <w:spacing w:before="1"/>
              <w:ind w:left="102"/>
              <w:jc w:val="both"/>
              <w:rPr>
                <w:rFonts w:ascii="Arial" w:eastAsia="SimSun" w:hAnsi="Arial" w:cs="Arial"/>
              </w:rPr>
            </w:pPr>
            <w:r>
              <w:rPr>
                <w:rFonts w:ascii="Arial" w:eastAsia="SimSun" w:hAnsi="Arial" w:hint="eastAsia"/>
              </w:rPr>
              <w:t xml:space="preserve">- </w:t>
            </w:r>
            <w:r>
              <w:rPr>
                <w:rFonts w:ascii="Arial" w:eastAsia="SimSun" w:hAnsi="Arial" w:hint="eastAsia"/>
              </w:rPr>
              <w:t>至少有轻微反应</w:t>
            </w:r>
            <w:r>
              <w:rPr>
                <w:rFonts w:ascii="Arial" w:eastAsia="SimSun" w:hAnsi="Arial" w:hint="eastAsia"/>
              </w:rPr>
              <w:t xml:space="preserve"> (CR + </w:t>
            </w:r>
            <w:proofErr w:type="spellStart"/>
            <w:r>
              <w:rPr>
                <w:rFonts w:ascii="Arial" w:eastAsia="SimSun" w:hAnsi="Arial" w:hint="eastAsia"/>
              </w:rPr>
              <w:t>VGPR</w:t>
            </w:r>
            <w:proofErr w:type="spellEnd"/>
            <w:r>
              <w:rPr>
                <w:rFonts w:ascii="Arial" w:eastAsia="SimSun" w:hAnsi="Arial" w:hint="eastAsia"/>
              </w:rPr>
              <w:t xml:space="preserve"> + PR + MR)</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92%</w:t>
            </w:r>
          </w:p>
        </w:tc>
      </w:tr>
      <w:tr w:rsidR="00160087">
        <w:trPr>
          <w:trHeight w:hRule="exact" w:val="771"/>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before="1" w:line="252" w:lineRule="exact"/>
              <w:ind w:left="102"/>
              <w:jc w:val="both"/>
              <w:rPr>
                <w:rFonts w:ascii="Arial" w:eastAsia="SimSun" w:hAnsi="Arial" w:cs="Arial"/>
              </w:rPr>
            </w:pPr>
            <w:r>
              <w:rPr>
                <w:rFonts w:ascii="Arial" w:eastAsia="SimSun" w:hint="eastAsia"/>
              </w:rPr>
              <w:t>重大反应率</w:t>
            </w:r>
            <w:r>
              <w:rPr>
                <w:rFonts w:ascii="Arial" w:eastAsia="SimSun" w:hint="eastAsia"/>
              </w:rPr>
              <w:t xml:space="preserve"> (MR)</w:t>
            </w:r>
          </w:p>
          <w:p w:rsidR="00160087" w:rsidRDefault="003F3E57" w:rsidP="00A01ABF">
            <w:pPr>
              <w:pStyle w:val="TableParagraph"/>
              <w:spacing w:line="252" w:lineRule="exact"/>
              <w:ind w:left="102"/>
              <w:jc w:val="both"/>
              <w:rPr>
                <w:rFonts w:ascii="Arial" w:eastAsia="SimSun" w:hAnsi="Arial" w:cs="Arial"/>
              </w:rPr>
            </w:pPr>
            <w:r>
              <w:rPr>
                <w:rFonts w:ascii="Arial" w:eastAsia="SimSun" w:hAnsi="Arial" w:hint="eastAsia"/>
              </w:rPr>
              <w:t xml:space="preserve">- </w:t>
            </w:r>
            <w:r>
              <w:rPr>
                <w:rFonts w:ascii="Arial" w:eastAsia="SimSun" w:hAnsi="Arial" w:hint="eastAsia"/>
              </w:rPr>
              <w:t>至少有部分反应</w:t>
            </w:r>
            <w:r>
              <w:rPr>
                <w:rFonts w:ascii="Arial" w:eastAsia="SimSun" w:hAnsi="Arial" w:hint="eastAsia"/>
              </w:rPr>
              <w:t xml:space="preserve"> (CR + </w:t>
            </w:r>
            <w:proofErr w:type="spellStart"/>
            <w:r>
              <w:rPr>
                <w:rFonts w:ascii="Arial" w:eastAsia="SimSun" w:hAnsi="Arial" w:hint="eastAsia"/>
              </w:rPr>
              <w:t>VGPR</w:t>
            </w:r>
            <w:proofErr w:type="spellEnd"/>
            <w:r>
              <w:rPr>
                <w:rFonts w:ascii="Arial" w:eastAsia="SimSun" w:hAnsi="Arial" w:hint="eastAsia"/>
              </w:rPr>
              <w:t xml:space="preserve"> + PR)</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before="1"/>
              <w:jc w:val="center"/>
              <w:rPr>
                <w:rFonts w:ascii="Arial" w:eastAsia="SimSun" w:hAnsi="Arial" w:cs="Arial"/>
              </w:rPr>
            </w:pPr>
            <w:r>
              <w:rPr>
                <w:rFonts w:ascii="Arial" w:eastAsia="SimSun" w:hint="eastAsia"/>
              </w:rPr>
              <w:t>82%</w:t>
            </w:r>
          </w:p>
        </w:tc>
      </w:tr>
      <w:tr w:rsidR="00160087">
        <w:trPr>
          <w:trHeight w:hRule="exact" w:val="768"/>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良好部分反应率</w:t>
            </w:r>
            <w:r>
              <w:rPr>
                <w:rFonts w:ascii="Arial" w:eastAsia="SimSun" w:hint="eastAsia"/>
              </w:rPr>
              <w:t xml:space="preserve"> (</w:t>
            </w:r>
            <w:proofErr w:type="spellStart"/>
            <w:r>
              <w:rPr>
                <w:rFonts w:ascii="Arial" w:eastAsia="SimSun" w:hint="eastAsia"/>
              </w:rPr>
              <w:t>VGPR</w:t>
            </w:r>
            <w:proofErr w:type="spellEnd"/>
            <w:r>
              <w:rPr>
                <w:rFonts w:ascii="Arial" w:eastAsia="SimSun" w:hint="eastAsia"/>
              </w:rPr>
              <w:t>)</w:t>
            </w:r>
          </w:p>
          <w:p w:rsidR="00160087" w:rsidRDefault="003F3E57" w:rsidP="00A01ABF">
            <w:pPr>
              <w:pStyle w:val="TableParagraph"/>
              <w:ind w:left="102" w:right="217"/>
              <w:jc w:val="both"/>
              <w:rPr>
                <w:rFonts w:ascii="Arial" w:eastAsia="SimSun" w:hAnsi="Arial" w:cs="Arial"/>
              </w:rPr>
            </w:pPr>
            <w:r>
              <w:rPr>
                <w:rFonts w:ascii="Arial" w:eastAsia="SimSun" w:hAnsi="Arial" w:hint="eastAsia"/>
              </w:rPr>
              <w:t>- M-</w:t>
            </w:r>
            <w:r>
              <w:rPr>
                <w:rFonts w:ascii="Arial" w:eastAsia="SimSun" w:hAnsi="Arial" w:hint="eastAsia"/>
              </w:rPr>
              <w:t>蛋白下降</w:t>
            </w:r>
            <w:r>
              <w:rPr>
                <w:rFonts w:ascii="Arial" w:eastAsia="SimSun" w:hAnsi="Arial" w:hint="eastAsia"/>
              </w:rPr>
              <w:t xml:space="preserve"> </w:t>
            </w:r>
            <w:r>
              <w:rPr>
                <w:rFonts w:ascii="Arial" w:eastAsia="SimSun" w:hAnsi="Arial" w:hint="eastAsia"/>
              </w:rPr>
              <w:t>≥</w:t>
            </w:r>
            <w:r>
              <w:rPr>
                <w:rFonts w:ascii="Arial" w:eastAsia="SimSun" w:hAnsi="Arial" w:hint="eastAsia"/>
              </w:rPr>
              <w:t xml:space="preserve"> 90%</w:t>
            </w:r>
            <w:r>
              <w:rPr>
                <w:rFonts w:ascii="Arial" w:eastAsia="SimSun" w:hAnsi="Arial" w:hint="eastAsia"/>
              </w:rPr>
              <w:t>，腺病</w:t>
            </w:r>
            <w:r>
              <w:rPr>
                <w:rFonts w:ascii="Arial" w:eastAsia="SimSun" w:hAnsi="Arial" w:hint="eastAsia"/>
              </w:rPr>
              <w:t>/</w:t>
            </w:r>
            <w:r>
              <w:rPr>
                <w:rFonts w:ascii="Arial" w:eastAsia="SimSun" w:hAnsi="Arial" w:hint="eastAsia"/>
              </w:rPr>
              <w:t>器官肿大消退，无活动性疾病新体征或症状</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43%</w:t>
            </w:r>
          </w:p>
        </w:tc>
      </w:tr>
      <w:tr w:rsidR="00160087">
        <w:trPr>
          <w:trHeight w:hRule="exact" w:val="1022"/>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部分反应率</w:t>
            </w:r>
            <w:r>
              <w:rPr>
                <w:rFonts w:ascii="Arial" w:eastAsia="SimSun" w:hint="eastAsia"/>
              </w:rPr>
              <w:t xml:space="preserve"> (PR)</w:t>
            </w:r>
          </w:p>
          <w:p w:rsidR="00160087" w:rsidRDefault="003F3E57" w:rsidP="00A01ABF">
            <w:pPr>
              <w:pStyle w:val="TableParagraph"/>
              <w:spacing w:before="1"/>
              <w:ind w:left="102" w:right="217"/>
              <w:jc w:val="both"/>
              <w:rPr>
                <w:rFonts w:ascii="Arial" w:eastAsia="SimSun" w:hAnsi="Arial" w:cs="Arial"/>
              </w:rPr>
            </w:pPr>
            <w:r>
              <w:rPr>
                <w:rFonts w:ascii="Arial" w:eastAsia="SimSun" w:hAnsi="Arial" w:hint="eastAsia"/>
              </w:rPr>
              <w:t>- M-</w:t>
            </w:r>
            <w:r>
              <w:rPr>
                <w:rFonts w:ascii="Arial" w:eastAsia="SimSun" w:hAnsi="Arial" w:hint="eastAsia"/>
              </w:rPr>
              <w:t>蛋白下降</w:t>
            </w:r>
            <w:r>
              <w:rPr>
                <w:rFonts w:ascii="Arial" w:eastAsia="SimSun" w:hAnsi="Arial" w:hint="eastAsia"/>
              </w:rPr>
              <w:t xml:space="preserve"> </w:t>
            </w:r>
            <w:r>
              <w:rPr>
                <w:rFonts w:ascii="Arial" w:eastAsia="SimSun" w:hAnsi="Arial" w:hint="eastAsia"/>
              </w:rPr>
              <w:t>≥</w:t>
            </w:r>
            <w:r>
              <w:rPr>
                <w:rFonts w:ascii="Arial" w:eastAsia="SimSun" w:hAnsi="Arial" w:hint="eastAsia"/>
              </w:rPr>
              <w:t xml:space="preserve"> 50%</w:t>
            </w:r>
            <w:r>
              <w:rPr>
                <w:rFonts w:ascii="Arial" w:eastAsia="SimSun" w:hAnsi="Arial" w:hint="eastAsia"/>
              </w:rPr>
              <w:t>，腺病</w:t>
            </w:r>
            <w:r>
              <w:rPr>
                <w:rFonts w:ascii="Arial" w:eastAsia="SimSun" w:hAnsi="Arial" w:hint="eastAsia"/>
              </w:rPr>
              <w:t>/</w:t>
            </w:r>
            <w:r>
              <w:rPr>
                <w:rFonts w:ascii="Arial" w:eastAsia="SimSun" w:hAnsi="Arial" w:hint="eastAsia"/>
              </w:rPr>
              <w:t>器官肿大消退，无活动性疾病新体征或症状</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37%</w:t>
            </w:r>
          </w:p>
        </w:tc>
      </w:tr>
      <w:tr w:rsidR="00160087">
        <w:trPr>
          <w:trHeight w:hRule="exact" w:val="770"/>
        </w:trPr>
        <w:tc>
          <w:tcPr>
            <w:tcW w:w="7758"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轻微反应率</w:t>
            </w:r>
          </w:p>
          <w:p w:rsidR="00160087" w:rsidRDefault="003F3E57" w:rsidP="00A01ABF">
            <w:pPr>
              <w:pStyle w:val="TableParagraph"/>
              <w:spacing w:before="1"/>
              <w:ind w:left="102"/>
              <w:jc w:val="both"/>
              <w:rPr>
                <w:rFonts w:ascii="Arial" w:eastAsia="SimSun" w:hAnsi="Arial" w:cs="Arial"/>
              </w:rPr>
            </w:pPr>
            <w:r>
              <w:rPr>
                <w:rFonts w:ascii="Arial" w:eastAsia="SimSun" w:hAnsi="Arial" w:hint="eastAsia"/>
              </w:rPr>
              <w:t xml:space="preserve">- IgM </w:t>
            </w:r>
            <w:r>
              <w:rPr>
                <w:rFonts w:ascii="Arial" w:eastAsia="SimSun" w:hAnsi="Arial" w:hint="eastAsia"/>
              </w:rPr>
              <w:t>减少</w:t>
            </w:r>
            <w:r>
              <w:rPr>
                <w:rFonts w:ascii="Arial" w:eastAsia="SimSun" w:hAnsi="Arial" w:hint="eastAsia"/>
              </w:rPr>
              <w:t xml:space="preserve"> 25% - 49%</w:t>
            </w:r>
            <w:r>
              <w:rPr>
                <w:rFonts w:ascii="Arial" w:eastAsia="SimSun" w:hAnsi="Arial" w:hint="eastAsia"/>
              </w:rPr>
              <w:t>，无活动性疾病的新体征或症状</w:t>
            </w:r>
          </w:p>
        </w:tc>
        <w:tc>
          <w:tcPr>
            <w:tcW w:w="2295"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12%</w:t>
            </w:r>
          </w:p>
        </w:tc>
      </w:tr>
    </w:tbl>
    <w:p w:rsidR="00160087" w:rsidRDefault="00160087" w:rsidP="00A01ABF">
      <w:pPr>
        <w:jc w:val="both"/>
        <w:rPr>
          <w:rFonts w:ascii="Arial" w:eastAsia="Arial" w:hAnsi="Arial" w:cs="Arial"/>
          <w:sz w:val="20"/>
          <w:szCs w:val="20"/>
        </w:rPr>
      </w:pPr>
    </w:p>
    <w:p w:rsidR="00160087" w:rsidRDefault="00160087" w:rsidP="00A01ABF">
      <w:pPr>
        <w:jc w:val="both"/>
        <w:rPr>
          <w:rFonts w:ascii="Arial" w:eastAsia="Arial" w:hAnsi="Arial" w:cs="Arial"/>
          <w:sz w:val="20"/>
          <w:szCs w:val="20"/>
        </w:rPr>
      </w:pPr>
    </w:p>
    <w:p w:rsidR="00160087" w:rsidRDefault="003F3E57" w:rsidP="00A01ABF">
      <w:pPr>
        <w:pStyle w:val="Corpsdetexte"/>
        <w:spacing w:before="72"/>
        <w:jc w:val="both"/>
      </w:pPr>
      <w:r>
        <w:rPr>
          <w:rFonts w:hint="eastAsia"/>
        </w:rPr>
        <w:t>表</w:t>
      </w:r>
      <w:r>
        <w:rPr>
          <w:rFonts w:hint="eastAsia"/>
        </w:rPr>
        <w:t xml:space="preserve"> 2.zanubrutinib</w:t>
      </w:r>
      <w:r>
        <w:rPr>
          <w:rFonts w:hint="eastAsia"/>
        </w:rPr>
        <w:t>（赞鲁替尼）和</w:t>
      </w:r>
      <w:r>
        <w:rPr>
          <w:rFonts w:hint="eastAsia"/>
        </w:rPr>
        <w:t xml:space="preserve"> ibrutinib</w:t>
      </w:r>
      <w:r>
        <w:rPr>
          <w:rFonts w:hint="eastAsia"/>
        </w:rPr>
        <w:t>（依鲁替尼）</w:t>
      </w:r>
      <w:r>
        <w:rPr>
          <w:rFonts w:hint="eastAsia"/>
        </w:rPr>
        <w:t xml:space="preserve">III </w:t>
      </w:r>
      <w:r>
        <w:rPr>
          <w:rFonts w:hint="eastAsia"/>
        </w:rPr>
        <w:t>期头对头临床试验（未公布结果）</w:t>
      </w:r>
    </w:p>
    <w:tbl>
      <w:tblPr>
        <w:tblStyle w:val="TableNormal"/>
        <w:tblW w:w="0" w:type="auto"/>
        <w:tblInd w:w="126" w:type="dxa"/>
        <w:tblLayout w:type="fixed"/>
        <w:tblLook w:val="01E0" w:firstRow="1" w:lastRow="1" w:firstColumn="1" w:lastColumn="1" w:noHBand="0" w:noVBand="0"/>
      </w:tblPr>
      <w:tblGrid>
        <w:gridCol w:w="6117"/>
        <w:gridCol w:w="1980"/>
        <w:gridCol w:w="1957"/>
      </w:tblGrid>
      <w:tr w:rsidR="00160087" w:rsidTr="00211C58">
        <w:trPr>
          <w:trHeight w:hRule="exact" w:val="1042"/>
        </w:trPr>
        <w:tc>
          <w:tcPr>
            <w:tcW w:w="611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41" w:lineRule="auto"/>
              <w:ind w:left="102" w:right="428"/>
              <w:jc w:val="both"/>
              <w:rPr>
                <w:rFonts w:ascii="Arial" w:eastAsia="SimSun" w:hAnsi="Arial" w:cs="Arial"/>
              </w:rPr>
            </w:pPr>
            <w:r>
              <w:rPr>
                <w:rFonts w:ascii="Arial" w:eastAsia="SimSun" w:hint="eastAsia"/>
              </w:rPr>
              <w:t xml:space="preserve">WM </w:t>
            </w:r>
            <w:r>
              <w:rPr>
                <w:rFonts w:ascii="Arial" w:eastAsia="SimSun" w:hint="eastAsia"/>
              </w:rPr>
              <w:t>反应标准（修改自第六届</w:t>
            </w:r>
            <w:r>
              <w:rPr>
                <w:rFonts w:ascii="Arial" w:eastAsia="SimSun" w:hint="eastAsia"/>
              </w:rPr>
              <w:t xml:space="preserve"> WM </w:t>
            </w:r>
            <w:r>
              <w:rPr>
                <w:rFonts w:ascii="Arial" w:eastAsia="SimSun" w:hint="eastAsia"/>
              </w:rPr>
              <w:t>国际研讨会）</w:t>
            </w:r>
          </w:p>
        </w:tc>
        <w:tc>
          <w:tcPr>
            <w:tcW w:w="1980"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ind w:left="102" w:right="126"/>
              <w:jc w:val="both"/>
              <w:rPr>
                <w:rFonts w:ascii="Arial" w:eastAsia="SimSun" w:hAnsi="Arial" w:cs="Arial"/>
              </w:rPr>
            </w:pPr>
            <w:proofErr w:type="spellStart"/>
            <w:r>
              <w:rPr>
                <w:rFonts w:ascii="Arial" w:eastAsia="SimSun" w:hint="eastAsia"/>
              </w:rPr>
              <w:t>zanubrutinib</w:t>
            </w:r>
            <w:proofErr w:type="spellEnd"/>
            <w:r>
              <w:rPr>
                <w:rFonts w:ascii="Arial" w:eastAsia="SimSun" w:hint="eastAsia"/>
              </w:rPr>
              <w:t>（赞鲁替尼）中位随访</w:t>
            </w:r>
          </w:p>
          <w:p w:rsidR="00160087" w:rsidRDefault="003F3E57" w:rsidP="00A01ABF">
            <w:pPr>
              <w:pStyle w:val="TableParagraph"/>
              <w:spacing w:line="250" w:lineRule="exact"/>
              <w:ind w:left="102"/>
              <w:jc w:val="both"/>
              <w:rPr>
                <w:rFonts w:ascii="Arial" w:eastAsia="SimSun" w:hAnsi="Arial" w:cs="Arial"/>
              </w:rPr>
            </w:pPr>
            <w:r>
              <w:rPr>
                <w:rFonts w:ascii="Arial" w:eastAsia="SimSun" w:hint="eastAsia"/>
              </w:rPr>
              <w:t xml:space="preserve">19.4 </w:t>
            </w:r>
            <w:r>
              <w:rPr>
                <w:rFonts w:ascii="Arial" w:eastAsia="SimSun" w:hint="eastAsia"/>
              </w:rPr>
              <w:t>个月</w:t>
            </w:r>
          </w:p>
        </w:tc>
        <w:tc>
          <w:tcPr>
            <w:tcW w:w="195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ibrutinib</w:t>
            </w:r>
            <w:r>
              <w:rPr>
                <w:rFonts w:ascii="Arial" w:eastAsia="SimSun" w:hint="eastAsia"/>
              </w:rPr>
              <w:t>（依鲁替尼）</w:t>
            </w:r>
          </w:p>
          <w:p w:rsidR="00160087" w:rsidRDefault="003F3E57" w:rsidP="00A01ABF">
            <w:pPr>
              <w:pStyle w:val="TableParagraph"/>
              <w:spacing w:before="1" w:line="252" w:lineRule="exact"/>
              <w:ind w:left="102"/>
              <w:jc w:val="both"/>
              <w:rPr>
                <w:rFonts w:ascii="Arial" w:eastAsia="SimSun" w:hAnsi="Arial" w:cs="Arial"/>
              </w:rPr>
            </w:pPr>
            <w:r>
              <w:rPr>
                <w:rFonts w:ascii="Arial" w:eastAsia="SimSun" w:hint="eastAsia"/>
              </w:rPr>
              <w:t>中位随访</w:t>
            </w:r>
          </w:p>
          <w:p w:rsidR="00160087" w:rsidRDefault="003F3E57" w:rsidP="00A01ABF">
            <w:pPr>
              <w:pStyle w:val="TableParagraph"/>
              <w:spacing w:line="250" w:lineRule="exact"/>
              <w:ind w:left="102"/>
              <w:jc w:val="both"/>
              <w:rPr>
                <w:rFonts w:ascii="Arial" w:eastAsia="SimSun" w:hAnsi="Arial" w:cs="Arial"/>
              </w:rPr>
            </w:pPr>
            <w:r>
              <w:rPr>
                <w:rFonts w:ascii="Arial" w:eastAsia="SimSun" w:hint="eastAsia"/>
              </w:rPr>
              <w:t xml:space="preserve">19.4 </w:t>
            </w:r>
            <w:r>
              <w:rPr>
                <w:rFonts w:ascii="Arial" w:eastAsia="SimSun" w:hint="eastAsia"/>
              </w:rPr>
              <w:t>个月</w:t>
            </w:r>
          </w:p>
        </w:tc>
      </w:tr>
      <w:tr w:rsidR="00160087">
        <w:trPr>
          <w:trHeight w:hRule="exact" w:val="770"/>
        </w:trPr>
        <w:tc>
          <w:tcPr>
            <w:tcW w:w="611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before="1" w:line="252" w:lineRule="exact"/>
              <w:ind w:left="102"/>
              <w:jc w:val="both"/>
              <w:rPr>
                <w:rFonts w:ascii="Arial" w:eastAsia="SimSun" w:hAnsi="Arial" w:cs="Arial"/>
              </w:rPr>
            </w:pPr>
            <w:r>
              <w:rPr>
                <w:rFonts w:ascii="Arial" w:eastAsia="SimSun" w:hint="eastAsia"/>
              </w:rPr>
              <w:t>总反应率</w:t>
            </w:r>
            <w:r>
              <w:rPr>
                <w:rFonts w:ascii="Arial" w:eastAsia="SimSun" w:hint="eastAsia"/>
              </w:rPr>
              <w:t xml:space="preserve"> (ORR)</w:t>
            </w:r>
          </w:p>
          <w:p w:rsidR="00160087" w:rsidRDefault="003F3E57" w:rsidP="00A01ABF">
            <w:pPr>
              <w:pStyle w:val="TableParagraph"/>
              <w:spacing w:line="252" w:lineRule="exact"/>
              <w:ind w:left="102"/>
              <w:jc w:val="both"/>
              <w:rPr>
                <w:rFonts w:ascii="Arial" w:eastAsia="SimSun" w:hAnsi="Arial" w:cs="Arial"/>
              </w:rPr>
            </w:pPr>
            <w:r>
              <w:rPr>
                <w:rFonts w:ascii="Arial" w:eastAsia="SimSun" w:hAnsi="Arial" w:hint="eastAsia"/>
              </w:rPr>
              <w:t xml:space="preserve">- </w:t>
            </w:r>
            <w:r>
              <w:rPr>
                <w:rFonts w:ascii="Arial" w:eastAsia="SimSun" w:hAnsi="Arial" w:hint="eastAsia"/>
              </w:rPr>
              <w:t>至少有轻微反应</w:t>
            </w:r>
            <w:r>
              <w:rPr>
                <w:rFonts w:ascii="Arial" w:eastAsia="SimSun" w:hAnsi="Arial" w:hint="eastAsia"/>
              </w:rPr>
              <w:t xml:space="preserve"> (CR + </w:t>
            </w:r>
            <w:proofErr w:type="spellStart"/>
            <w:r>
              <w:rPr>
                <w:rFonts w:ascii="Arial" w:eastAsia="SimSun" w:hAnsi="Arial" w:hint="eastAsia"/>
              </w:rPr>
              <w:t>VGPR</w:t>
            </w:r>
            <w:proofErr w:type="spellEnd"/>
            <w:r>
              <w:rPr>
                <w:rFonts w:ascii="Arial" w:eastAsia="SimSun" w:hAnsi="Arial" w:hint="eastAsia"/>
              </w:rPr>
              <w:t xml:space="preserve"> + PR + MR)</w:t>
            </w:r>
          </w:p>
        </w:tc>
        <w:tc>
          <w:tcPr>
            <w:tcW w:w="1980"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before="1"/>
              <w:ind w:left="1"/>
              <w:jc w:val="center"/>
              <w:rPr>
                <w:rFonts w:ascii="Arial" w:eastAsia="SimSun" w:hAnsi="Arial" w:cs="Arial"/>
              </w:rPr>
            </w:pPr>
            <w:r>
              <w:rPr>
                <w:rFonts w:ascii="Arial" w:eastAsia="SimSun" w:hint="eastAsia"/>
              </w:rPr>
              <w:t>97%</w:t>
            </w:r>
          </w:p>
        </w:tc>
        <w:tc>
          <w:tcPr>
            <w:tcW w:w="195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before="1"/>
              <w:ind w:left="2"/>
              <w:jc w:val="center"/>
              <w:rPr>
                <w:rFonts w:ascii="Arial" w:eastAsia="SimSun" w:hAnsi="Arial" w:cs="Arial"/>
              </w:rPr>
            </w:pPr>
            <w:r>
              <w:rPr>
                <w:rFonts w:ascii="Arial" w:eastAsia="SimSun" w:hint="eastAsia"/>
              </w:rPr>
              <w:t>93%</w:t>
            </w:r>
          </w:p>
        </w:tc>
      </w:tr>
      <w:tr w:rsidR="00160087">
        <w:trPr>
          <w:trHeight w:hRule="exact" w:val="768"/>
        </w:trPr>
        <w:tc>
          <w:tcPr>
            <w:tcW w:w="611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重大反应率</w:t>
            </w:r>
            <w:r>
              <w:rPr>
                <w:rFonts w:ascii="Arial" w:eastAsia="SimSun" w:hint="eastAsia"/>
              </w:rPr>
              <w:t xml:space="preserve"> (MR)</w:t>
            </w:r>
          </w:p>
          <w:p w:rsidR="00160087" w:rsidRDefault="003F3E57" w:rsidP="00A01ABF">
            <w:pPr>
              <w:pStyle w:val="TableParagraph"/>
              <w:spacing w:line="252" w:lineRule="exact"/>
              <w:ind w:left="102"/>
              <w:jc w:val="both"/>
              <w:rPr>
                <w:rFonts w:ascii="Arial" w:eastAsia="SimSun" w:hAnsi="Arial" w:cs="Arial"/>
              </w:rPr>
            </w:pPr>
            <w:r>
              <w:rPr>
                <w:rFonts w:ascii="Arial" w:eastAsia="SimSun" w:hAnsi="Arial" w:hint="eastAsia"/>
              </w:rPr>
              <w:t xml:space="preserve">- </w:t>
            </w:r>
            <w:r>
              <w:rPr>
                <w:rFonts w:ascii="Arial" w:eastAsia="SimSun" w:hAnsi="Arial" w:hint="eastAsia"/>
              </w:rPr>
              <w:t>至少有部分反应</w:t>
            </w:r>
            <w:r>
              <w:rPr>
                <w:rFonts w:ascii="Arial" w:eastAsia="SimSun" w:hAnsi="Arial" w:hint="eastAsia"/>
              </w:rPr>
              <w:t xml:space="preserve"> (CR + </w:t>
            </w:r>
            <w:proofErr w:type="spellStart"/>
            <w:r>
              <w:rPr>
                <w:rFonts w:ascii="Arial" w:eastAsia="SimSun" w:hAnsi="Arial" w:hint="eastAsia"/>
              </w:rPr>
              <w:t>VGPR</w:t>
            </w:r>
            <w:proofErr w:type="spellEnd"/>
            <w:r>
              <w:rPr>
                <w:rFonts w:ascii="Arial" w:eastAsia="SimSun" w:hAnsi="Arial" w:hint="eastAsia"/>
              </w:rPr>
              <w:t xml:space="preserve"> + PR)</w:t>
            </w:r>
          </w:p>
        </w:tc>
        <w:tc>
          <w:tcPr>
            <w:tcW w:w="1980"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77.5%</w:t>
            </w:r>
          </w:p>
        </w:tc>
        <w:tc>
          <w:tcPr>
            <w:tcW w:w="195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77.8%</w:t>
            </w:r>
          </w:p>
        </w:tc>
      </w:tr>
      <w:tr w:rsidR="00160087">
        <w:trPr>
          <w:trHeight w:hRule="exact" w:val="1023"/>
        </w:trPr>
        <w:tc>
          <w:tcPr>
            <w:tcW w:w="611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ind w:left="102"/>
              <w:jc w:val="both"/>
              <w:rPr>
                <w:rFonts w:ascii="Arial" w:eastAsia="SimSun" w:hAnsi="Arial" w:cs="Arial"/>
              </w:rPr>
            </w:pPr>
            <w:r>
              <w:rPr>
                <w:rFonts w:ascii="Arial" w:eastAsia="SimSun" w:hint="eastAsia"/>
              </w:rPr>
              <w:t>良好部分反应率</w:t>
            </w:r>
            <w:r>
              <w:rPr>
                <w:rFonts w:ascii="Arial" w:eastAsia="SimSun" w:hint="eastAsia"/>
              </w:rPr>
              <w:t xml:space="preserve"> (</w:t>
            </w:r>
            <w:proofErr w:type="spellStart"/>
            <w:r>
              <w:rPr>
                <w:rFonts w:ascii="Arial" w:eastAsia="SimSun" w:hint="eastAsia"/>
              </w:rPr>
              <w:t>VGPR</w:t>
            </w:r>
            <w:proofErr w:type="spellEnd"/>
            <w:r>
              <w:rPr>
                <w:rFonts w:ascii="Arial" w:eastAsia="SimSun" w:hint="eastAsia"/>
              </w:rPr>
              <w:t>)</w:t>
            </w:r>
          </w:p>
          <w:p w:rsidR="00160087" w:rsidRDefault="003F3E57" w:rsidP="00A01ABF">
            <w:pPr>
              <w:pStyle w:val="TableParagraph"/>
              <w:spacing w:before="1"/>
              <w:ind w:left="102" w:right="238"/>
              <w:jc w:val="both"/>
              <w:rPr>
                <w:rFonts w:ascii="Arial" w:eastAsia="SimSun" w:hAnsi="Arial" w:cs="Arial"/>
              </w:rPr>
            </w:pPr>
            <w:r>
              <w:rPr>
                <w:rFonts w:ascii="Arial" w:eastAsia="SimSun" w:hAnsi="Arial" w:hint="eastAsia"/>
              </w:rPr>
              <w:t>- M-</w:t>
            </w:r>
            <w:r>
              <w:rPr>
                <w:rFonts w:ascii="Arial" w:eastAsia="SimSun" w:hAnsi="Arial" w:hint="eastAsia"/>
              </w:rPr>
              <w:t>蛋白下降</w:t>
            </w:r>
            <w:r>
              <w:rPr>
                <w:rFonts w:ascii="Arial" w:eastAsia="SimSun" w:hAnsi="Arial" w:hint="eastAsia"/>
              </w:rPr>
              <w:t xml:space="preserve"> </w:t>
            </w:r>
            <w:r>
              <w:rPr>
                <w:rFonts w:ascii="Arial" w:eastAsia="SimSun" w:hAnsi="Arial" w:hint="eastAsia"/>
              </w:rPr>
              <w:t>≥</w:t>
            </w:r>
            <w:r>
              <w:rPr>
                <w:rFonts w:ascii="Arial" w:eastAsia="SimSun" w:hAnsi="Arial" w:hint="eastAsia"/>
              </w:rPr>
              <w:t xml:space="preserve"> 90%</w:t>
            </w:r>
            <w:r>
              <w:rPr>
                <w:rFonts w:ascii="Arial" w:eastAsia="SimSun" w:hAnsi="Arial" w:hint="eastAsia"/>
              </w:rPr>
              <w:t>，腺病</w:t>
            </w:r>
            <w:r>
              <w:rPr>
                <w:rFonts w:ascii="Arial" w:eastAsia="SimSun" w:hAnsi="Arial" w:hint="eastAsia"/>
              </w:rPr>
              <w:t>/</w:t>
            </w:r>
            <w:r>
              <w:rPr>
                <w:rFonts w:ascii="Arial" w:eastAsia="SimSun" w:hAnsi="Arial" w:hint="eastAsia"/>
              </w:rPr>
              <w:t>器官肿大消退，无活动性疾病新体征或症状</w:t>
            </w:r>
          </w:p>
        </w:tc>
        <w:tc>
          <w:tcPr>
            <w:tcW w:w="1980"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28.4%</w:t>
            </w:r>
          </w:p>
        </w:tc>
        <w:tc>
          <w:tcPr>
            <w:tcW w:w="1957" w:type="dxa"/>
            <w:tcBorders>
              <w:top w:val="single" w:sz="5" w:space="0" w:color="000000"/>
              <w:left w:val="single" w:sz="5" w:space="0" w:color="000000"/>
              <w:bottom w:val="single" w:sz="5" w:space="0" w:color="000000"/>
              <w:right w:val="single" w:sz="5" w:space="0" w:color="000000"/>
            </w:tcBorders>
          </w:tcPr>
          <w:p w:rsidR="00160087" w:rsidRDefault="003F3E57" w:rsidP="00A01ABF">
            <w:pPr>
              <w:pStyle w:val="TableParagraph"/>
              <w:spacing w:line="252" w:lineRule="exact"/>
              <w:jc w:val="center"/>
              <w:rPr>
                <w:rFonts w:ascii="Arial" w:eastAsia="SimSun" w:hAnsi="Arial" w:cs="Arial"/>
              </w:rPr>
            </w:pPr>
            <w:r>
              <w:rPr>
                <w:rFonts w:ascii="Arial" w:eastAsia="SimSun" w:hint="eastAsia"/>
              </w:rPr>
              <w:t>19.2%</w:t>
            </w:r>
          </w:p>
        </w:tc>
      </w:tr>
    </w:tbl>
    <w:p w:rsidR="00160087" w:rsidRDefault="00160087" w:rsidP="00A01ABF">
      <w:pPr>
        <w:spacing w:line="252" w:lineRule="exact"/>
        <w:jc w:val="both"/>
        <w:rPr>
          <w:rFonts w:ascii="Arial" w:eastAsia="Arial" w:hAnsi="Arial" w:cs="Arial"/>
        </w:rPr>
        <w:sectPr w:rsidR="00160087">
          <w:headerReference w:type="default" r:id="rId7"/>
          <w:footerReference w:type="default" r:id="rId8"/>
          <w:pgSz w:w="12240" w:h="15840"/>
          <w:pgMar w:top="2820" w:right="1020" w:bottom="1000" w:left="880" w:header="720" w:footer="813" w:gutter="0"/>
          <w:cols w:space="720"/>
        </w:sectPr>
      </w:pPr>
    </w:p>
    <w:p w:rsidR="00160087" w:rsidRDefault="00160087" w:rsidP="00A01ABF">
      <w:pPr>
        <w:spacing w:before="6"/>
        <w:jc w:val="both"/>
        <w:rPr>
          <w:rFonts w:ascii="Arial" w:eastAsia="Arial" w:hAnsi="Arial" w:cs="Arial"/>
          <w:sz w:val="17"/>
          <w:szCs w:val="17"/>
        </w:rPr>
      </w:pPr>
    </w:p>
    <w:p w:rsidR="00160087" w:rsidRDefault="003F3E57" w:rsidP="00A01ABF">
      <w:pPr>
        <w:pStyle w:val="Titre1"/>
        <w:spacing w:before="72" w:line="252" w:lineRule="exact"/>
        <w:jc w:val="both"/>
        <w:rPr>
          <w:b w:val="0"/>
          <w:bCs w:val="0"/>
        </w:rPr>
      </w:pPr>
      <w:proofErr w:type="spellStart"/>
      <w:r>
        <w:rPr>
          <w:rFonts w:hint="eastAsia"/>
        </w:rPr>
        <w:t>zanubrutinib</w:t>
      </w:r>
      <w:proofErr w:type="spellEnd"/>
      <w:r>
        <w:rPr>
          <w:rFonts w:hint="eastAsia"/>
        </w:rPr>
        <w:t>（赞鲁替尼）给药方法：</w:t>
      </w:r>
    </w:p>
    <w:p w:rsidR="00160087" w:rsidRPr="003F3E57" w:rsidRDefault="003F3E57" w:rsidP="00A01ABF">
      <w:pPr>
        <w:pStyle w:val="Corpsdetexte"/>
        <w:ind w:right="145"/>
        <w:jc w:val="both"/>
        <w:rPr>
          <w:spacing w:val="-1"/>
        </w:rPr>
      </w:pPr>
      <w:proofErr w:type="spellStart"/>
      <w:r>
        <w:rPr>
          <w:rFonts w:hint="eastAsia"/>
        </w:rPr>
        <w:t>zanubrutinib</w:t>
      </w:r>
      <w:proofErr w:type="spellEnd"/>
      <w:r>
        <w:rPr>
          <w:rFonts w:hint="eastAsia"/>
        </w:rPr>
        <w:t>（赞鲁替尼）的剂量因患者而异。遵照医疗团队的指示或标签上的说明。以下信息仅包括</w:t>
      </w:r>
      <w:r>
        <w:rPr>
          <w:rFonts w:hint="eastAsia"/>
        </w:rPr>
        <w:t xml:space="preserve"> </w:t>
      </w:r>
      <w:proofErr w:type="spellStart"/>
      <w:r>
        <w:rPr>
          <w:rFonts w:hint="eastAsia"/>
        </w:rPr>
        <w:t>zanubrutinib</w:t>
      </w:r>
      <w:proofErr w:type="spellEnd"/>
      <w:r>
        <w:rPr>
          <w:rFonts w:hint="eastAsia"/>
        </w:rPr>
        <w:t>（赞鲁替尼）的平均剂量。如果您的剂量不同，请勿更改，除非医疗团队告诉您可以这样做。</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在美国，</w:t>
      </w:r>
      <w:proofErr w:type="spellStart"/>
      <w:r>
        <w:rPr>
          <w:rFonts w:hint="eastAsia"/>
        </w:rPr>
        <w:t>zanubrutinib</w:t>
      </w:r>
      <w:proofErr w:type="spellEnd"/>
      <w:r>
        <w:rPr>
          <w:rFonts w:hint="eastAsia"/>
        </w:rPr>
        <w:t>（赞鲁替尼）在专业药房有售。通常，</w:t>
      </w:r>
      <w:r>
        <w:rPr>
          <w:rFonts w:hint="eastAsia"/>
        </w:rPr>
        <w:t xml:space="preserve">WM </w:t>
      </w:r>
      <w:r>
        <w:rPr>
          <w:rFonts w:hint="eastAsia"/>
        </w:rPr>
        <w:t>的适用剂量为</w:t>
      </w:r>
      <w:r>
        <w:rPr>
          <w:rFonts w:hint="eastAsia"/>
        </w:rPr>
        <w:t xml:space="preserve"> 2 </w:t>
      </w:r>
      <w:r>
        <w:rPr>
          <w:rFonts w:hint="eastAsia"/>
        </w:rPr>
        <w:t>颗</w:t>
      </w:r>
      <w:r>
        <w:rPr>
          <w:rFonts w:hint="eastAsia"/>
        </w:rPr>
        <w:t xml:space="preserve"> 80 mg (160 mg) </w:t>
      </w:r>
      <w:r>
        <w:rPr>
          <w:rFonts w:hint="eastAsia"/>
        </w:rPr>
        <w:t>胶囊，每日口服两次，每天固定时间间隔大约</w:t>
      </w:r>
      <w:r>
        <w:rPr>
          <w:rFonts w:hint="eastAsia"/>
        </w:rPr>
        <w:t xml:space="preserve"> 12 </w:t>
      </w:r>
      <w:r>
        <w:rPr>
          <w:rFonts w:hint="eastAsia"/>
        </w:rPr>
        <w:t>小时服用，直至出现疾病进展或不可接受的耐受性。胶囊至少须用</w:t>
      </w:r>
      <w:r>
        <w:rPr>
          <w:rFonts w:hint="eastAsia"/>
        </w:rPr>
        <w:t xml:space="preserve"> 250 </w:t>
      </w:r>
      <w:r>
        <w:rPr>
          <w:rFonts w:hint="eastAsia"/>
        </w:rPr>
        <w:t>毫升水吞服（请勿研碎、打开、咀嚼或溶解）。此药物可饭后或空腹服用。</w:t>
      </w:r>
      <w:proofErr w:type="spellStart"/>
      <w:r>
        <w:rPr>
          <w:rFonts w:hint="eastAsia"/>
        </w:rPr>
        <w:t>zanubrutinib</w:t>
      </w:r>
      <w:proofErr w:type="spellEnd"/>
      <w:r>
        <w:rPr>
          <w:rFonts w:hint="eastAsia"/>
        </w:rPr>
        <w:t>（赞鲁替尼）需严格按照处方服用。如果漏服，请在同一天记起时立即服用，并在第二天恢复正常服药计划。除非医疗提供方有指示，否则不得改变剂量或停止用药。</w:t>
      </w:r>
      <w:proofErr w:type="spellStart"/>
      <w:r>
        <w:rPr>
          <w:rFonts w:hint="eastAsia"/>
        </w:rPr>
        <w:t>zanubrutinib</w:t>
      </w:r>
      <w:proofErr w:type="spellEnd"/>
      <w:r>
        <w:rPr>
          <w:rFonts w:hint="eastAsia"/>
        </w:rPr>
        <w:t>（赞鲁替尼）胶囊应在室温（</w:t>
      </w:r>
      <w:r>
        <w:rPr>
          <w:rFonts w:hint="eastAsia"/>
        </w:rPr>
        <w:t xml:space="preserve">68 </w:t>
      </w:r>
      <w:r>
        <w:rPr>
          <w:rFonts w:hint="eastAsia"/>
        </w:rPr>
        <w:t>至</w:t>
      </w:r>
      <w:r>
        <w:rPr>
          <w:rFonts w:hint="eastAsia"/>
        </w:rPr>
        <w:t xml:space="preserve"> 77 </w:t>
      </w:r>
      <w:r>
        <w:rPr>
          <w:rFonts w:hint="eastAsia"/>
        </w:rPr>
        <w:t>华氏度</w:t>
      </w:r>
      <w:r>
        <w:rPr>
          <w:rFonts w:hint="eastAsia"/>
        </w:rPr>
        <w:t xml:space="preserve">/20 </w:t>
      </w:r>
      <w:r>
        <w:rPr>
          <w:rFonts w:hint="eastAsia"/>
        </w:rPr>
        <w:t>至</w:t>
      </w:r>
      <w:r>
        <w:rPr>
          <w:rFonts w:hint="eastAsia"/>
        </w:rPr>
        <w:t xml:space="preserve"> 25 </w:t>
      </w:r>
      <w:r>
        <w:rPr>
          <w:rFonts w:hint="eastAsia"/>
        </w:rPr>
        <w:t>摄氏度）下储存。</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肝功能严重受损的患者可减少</w:t>
      </w:r>
      <w:r>
        <w:rPr>
          <w:rFonts w:hint="eastAsia"/>
        </w:rPr>
        <w:t xml:space="preserve"> </w:t>
      </w:r>
      <w:proofErr w:type="spellStart"/>
      <w:r>
        <w:rPr>
          <w:rFonts w:hint="eastAsia"/>
        </w:rPr>
        <w:t>zanubrutinib</w:t>
      </w:r>
      <w:proofErr w:type="spellEnd"/>
      <w:r>
        <w:rPr>
          <w:rFonts w:hint="eastAsia"/>
        </w:rPr>
        <w:t>（赞鲁替尼）的推荐剂量。也可能因药物相互作用而改变</w:t>
      </w:r>
      <w:r>
        <w:rPr>
          <w:rFonts w:hint="eastAsia"/>
        </w:rPr>
        <w:t xml:space="preserve"> </w:t>
      </w:r>
      <w:proofErr w:type="spellStart"/>
      <w:r>
        <w:rPr>
          <w:rFonts w:hint="eastAsia"/>
        </w:rPr>
        <w:t>zanubrutinib</w:t>
      </w:r>
      <w:proofErr w:type="spellEnd"/>
      <w:r>
        <w:rPr>
          <w:rFonts w:hint="eastAsia"/>
        </w:rPr>
        <w:t>（赞鲁替尼）的剂量，如多种抗惊厥、抗真菌和抗菌药物。通常，不建议与以下任何药物一起服用</w:t>
      </w:r>
      <w:r>
        <w:rPr>
          <w:rFonts w:hint="eastAsia"/>
        </w:rPr>
        <w:t xml:space="preserve"> </w:t>
      </w:r>
      <w:proofErr w:type="spellStart"/>
      <w:r>
        <w:rPr>
          <w:rFonts w:hint="eastAsia"/>
        </w:rPr>
        <w:t>zanubrutinib</w:t>
      </w:r>
      <w:proofErr w:type="spellEnd"/>
      <w:r>
        <w:rPr>
          <w:rFonts w:hint="eastAsia"/>
        </w:rPr>
        <w:t>（赞鲁替尼），但在某些情况下可能需要服用。如果同时开具了两种药物，医疗团队可以改变剂量，或改变一种或两种药物的服用频率。以下清单可能未包含所有药物：</w:t>
      </w:r>
    </w:p>
    <w:p w:rsidR="00160087" w:rsidRDefault="00160087" w:rsidP="00A01ABF">
      <w:pPr>
        <w:spacing w:before="3"/>
        <w:jc w:val="both"/>
        <w:rPr>
          <w:rFonts w:ascii="Arial" w:eastAsia="Arial" w:hAnsi="Arial" w:cs="Arial"/>
          <w:sz w:val="9"/>
          <w:szCs w:val="9"/>
        </w:rPr>
      </w:pPr>
    </w:p>
    <w:p w:rsidR="00160087" w:rsidRDefault="00160087" w:rsidP="00A01ABF">
      <w:pPr>
        <w:jc w:val="both"/>
        <w:rPr>
          <w:rFonts w:ascii="Arial" w:eastAsia="Arial" w:hAnsi="Arial" w:cs="Arial"/>
          <w:sz w:val="9"/>
          <w:szCs w:val="9"/>
        </w:rPr>
        <w:sectPr w:rsidR="00160087">
          <w:pgSz w:w="12240" w:h="15840"/>
          <w:pgMar w:top="2820" w:right="1020" w:bottom="1000" w:left="880" w:header="720" w:footer="813" w:gutter="0"/>
          <w:cols w:space="720"/>
        </w:sectPr>
      </w:pPr>
    </w:p>
    <w:p w:rsidR="003F3E57" w:rsidRDefault="003F3E57" w:rsidP="00A01ABF">
      <w:pPr>
        <w:pStyle w:val="Corpsdetexte"/>
        <w:spacing w:before="72"/>
        <w:jc w:val="both"/>
        <w:rPr>
          <w:color w:val="111111"/>
          <w:spacing w:val="26"/>
        </w:rPr>
      </w:pPr>
      <w:r>
        <w:rPr>
          <w:rFonts w:hint="eastAsia"/>
          <w:color w:val="111111"/>
        </w:rPr>
        <w:t>阿帕鲁他胺</w:t>
      </w:r>
    </w:p>
    <w:p w:rsidR="003F3E57" w:rsidRDefault="003F3E57" w:rsidP="00A01ABF">
      <w:pPr>
        <w:pStyle w:val="Corpsdetexte"/>
        <w:spacing w:before="72"/>
        <w:jc w:val="both"/>
        <w:rPr>
          <w:color w:val="111111"/>
          <w:spacing w:val="26"/>
        </w:rPr>
      </w:pPr>
      <w:r>
        <w:rPr>
          <w:rFonts w:hint="eastAsia"/>
          <w:color w:val="111111"/>
        </w:rPr>
        <w:t>阿瑞匹坦</w:t>
      </w:r>
    </w:p>
    <w:p w:rsidR="003F3E57" w:rsidRDefault="003F3E57" w:rsidP="00A01ABF">
      <w:pPr>
        <w:pStyle w:val="Corpsdetexte"/>
        <w:spacing w:before="72"/>
        <w:jc w:val="both"/>
        <w:rPr>
          <w:color w:val="111111"/>
          <w:spacing w:val="25"/>
        </w:rPr>
      </w:pPr>
      <w:r>
        <w:rPr>
          <w:rFonts w:hint="eastAsia"/>
          <w:color w:val="111111"/>
        </w:rPr>
        <w:t>阿扎那韦</w:t>
      </w:r>
    </w:p>
    <w:p w:rsidR="003F3E57" w:rsidRDefault="003F3E57" w:rsidP="00A01ABF">
      <w:pPr>
        <w:pStyle w:val="Corpsdetexte"/>
        <w:spacing w:before="72"/>
        <w:jc w:val="both"/>
        <w:rPr>
          <w:color w:val="111111"/>
          <w:spacing w:val="27"/>
        </w:rPr>
      </w:pPr>
      <w:r>
        <w:rPr>
          <w:rFonts w:hint="eastAsia"/>
          <w:color w:val="111111"/>
        </w:rPr>
        <w:t>博赛泼维</w:t>
      </w:r>
    </w:p>
    <w:p w:rsidR="003F3E57" w:rsidRDefault="003F3E57" w:rsidP="00A01ABF">
      <w:pPr>
        <w:pStyle w:val="Corpsdetexte"/>
        <w:spacing w:before="72"/>
        <w:jc w:val="both"/>
        <w:rPr>
          <w:color w:val="111111"/>
          <w:spacing w:val="26"/>
        </w:rPr>
      </w:pPr>
      <w:r>
        <w:rPr>
          <w:rFonts w:hint="eastAsia"/>
          <w:color w:val="111111"/>
        </w:rPr>
        <w:t>波生坦</w:t>
      </w:r>
    </w:p>
    <w:p w:rsidR="003F3E57" w:rsidRDefault="003F3E57" w:rsidP="00A01ABF">
      <w:pPr>
        <w:pStyle w:val="Corpsdetexte"/>
        <w:spacing w:before="72"/>
        <w:jc w:val="both"/>
        <w:rPr>
          <w:color w:val="111111"/>
          <w:spacing w:val="29"/>
        </w:rPr>
      </w:pPr>
      <w:r>
        <w:rPr>
          <w:rFonts w:hint="eastAsia"/>
          <w:color w:val="111111"/>
        </w:rPr>
        <w:t>卡马西平</w:t>
      </w:r>
    </w:p>
    <w:p w:rsidR="003F3E57" w:rsidRDefault="003F3E57" w:rsidP="00A01ABF">
      <w:pPr>
        <w:pStyle w:val="Corpsdetexte"/>
        <w:spacing w:before="72"/>
        <w:jc w:val="both"/>
        <w:rPr>
          <w:color w:val="111111"/>
          <w:spacing w:val="25"/>
        </w:rPr>
      </w:pPr>
      <w:r>
        <w:rPr>
          <w:rFonts w:hint="eastAsia"/>
          <w:color w:val="111111"/>
        </w:rPr>
        <w:t>环丙沙星</w:t>
      </w:r>
    </w:p>
    <w:p w:rsidR="003F3E57" w:rsidRDefault="003F3E57" w:rsidP="00A01ABF">
      <w:pPr>
        <w:pStyle w:val="Corpsdetexte"/>
        <w:spacing w:before="72"/>
        <w:jc w:val="both"/>
        <w:rPr>
          <w:color w:val="111111"/>
          <w:spacing w:val="27"/>
        </w:rPr>
      </w:pPr>
      <w:r>
        <w:rPr>
          <w:rFonts w:hint="eastAsia"/>
          <w:color w:val="111111"/>
        </w:rPr>
        <w:t>克拉霉素</w:t>
      </w:r>
    </w:p>
    <w:p w:rsidR="003F3E57" w:rsidRDefault="003F3E57" w:rsidP="00A01ABF">
      <w:pPr>
        <w:pStyle w:val="Corpsdetexte"/>
        <w:spacing w:before="72"/>
        <w:jc w:val="both"/>
        <w:rPr>
          <w:color w:val="111111"/>
          <w:spacing w:val="24"/>
        </w:rPr>
      </w:pPr>
      <w:r>
        <w:rPr>
          <w:rFonts w:hint="eastAsia"/>
          <w:color w:val="111111"/>
        </w:rPr>
        <w:t>可比司他</w:t>
      </w:r>
    </w:p>
    <w:p w:rsidR="003F3E57" w:rsidRDefault="003F3E57" w:rsidP="00A01ABF">
      <w:pPr>
        <w:pStyle w:val="Corpsdetexte"/>
        <w:spacing w:before="72"/>
        <w:jc w:val="both"/>
        <w:rPr>
          <w:color w:val="111111"/>
          <w:spacing w:val="25"/>
        </w:rPr>
      </w:pPr>
      <w:r>
        <w:rPr>
          <w:rFonts w:hint="eastAsia"/>
          <w:color w:val="111111"/>
        </w:rPr>
        <w:t>考尼伐坦</w:t>
      </w:r>
    </w:p>
    <w:p w:rsidR="003F3E57" w:rsidRDefault="003F3E57" w:rsidP="00A01ABF">
      <w:pPr>
        <w:pStyle w:val="Corpsdetexte"/>
        <w:spacing w:before="72"/>
        <w:jc w:val="both"/>
        <w:rPr>
          <w:color w:val="111111"/>
          <w:spacing w:val="24"/>
        </w:rPr>
      </w:pPr>
      <w:r>
        <w:rPr>
          <w:rFonts w:hint="eastAsia"/>
          <w:color w:val="111111"/>
        </w:rPr>
        <w:t>克里唑蒂尼</w:t>
      </w:r>
    </w:p>
    <w:p w:rsidR="003F3E57" w:rsidRDefault="003F3E57" w:rsidP="00A01ABF">
      <w:pPr>
        <w:pStyle w:val="Corpsdetexte"/>
        <w:spacing w:before="72"/>
        <w:jc w:val="both"/>
        <w:rPr>
          <w:color w:val="111111"/>
          <w:spacing w:val="27"/>
        </w:rPr>
      </w:pPr>
      <w:r>
        <w:rPr>
          <w:rFonts w:hint="eastAsia"/>
          <w:color w:val="111111"/>
        </w:rPr>
        <w:t>环孢素</w:t>
      </w:r>
    </w:p>
    <w:p w:rsidR="003F3E57" w:rsidRDefault="003F3E57" w:rsidP="00A01ABF">
      <w:pPr>
        <w:pStyle w:val="Corpsdetexte"/>
        <w:spacing w:before="72"/>
        <w:jc w:val="both"/>
        <w:rPr>
          <w:color w:val="111111"/>
          <w:spacing w:val="21"/>
        </w:rPr>
      </w:pPr>
      <w:r>
        <w:rPr>
          <w:rFonts w:hint="eastAsia"/>
          <w:color w:val="111111"/>
        </w:rPr>
        <w:t>地尔硫卓</w:t>
      </w:r>
    </w:p>
    <w:p w:rsidR="003F3E57" w:rsidRDefault="003F3E57" w:rsidP="00A01ABF">
      <w:pPr>
        <w:pStyle w:val="Corpsdetexte"/>
        <w:spacing w:before="72"/>
        <w:jc w:val="both"/>
        <w:rPr>
          <w:color w:val="111111"/>
          <w:spacing w:val="27"/>
        </w:rPr>
      </w:pPr>
      <w:r>
        <w:rPr>
          <w:rFonts w:hint="eastAsia"/>
          <w:color w:val="111111"/>
        </w:rPr>
        <w:t>决奈达隆</w:t>
      </w:r>
    </w:p>
    <w:p w:rsidR="003F3E57" w:rsidRDefault="003F3E57" w:rsidP="00A01ABF">
      <w:pPr>
        <w:pStyle w:val="Corpsdetexte"/>
        <w:spacing w:before="72"/>
        <w:jc w:val="both"/>
        <w:rPr>
          <w:color w:val="111111"/>
          <w:spacing w:val="25"/>
        </w:rPr>
      </w:pPr>
      <w:r>
        <w:rPr>
          <w:rFonts w:hint="eastAsia"/>
          <w:color w:val="111111"/>
        </w:rPr>
        <w:t>依法韦仑</w:t>
      </w:r>
    </w:p>
    <w:p w:rsidR="003F3E57" w:rsidRDefault="003F3E57" w:rsidP="00A01ABF">
      <w:pPr>
        <w:pStyle w:val="Corpsdetexte"/>
        <w:spacing w:before="72"/>
        <w:jc w:val="both"/>
        <w:rPr>
          <w:color w:val="111111"/>
          <w:spacing w:val="27"/>
        </w:rPr>
      </w:pPr>
      <w:r>
        <w:rPr>
          <w:rFonts w:hint="eastAsia"/>
          <w:color w:val="111111"/>
        </w:rPr>
        <w:t>恩杂鲁胺</w:t>
      </w:r>
    </w:p>
    <w:p w:rsidR="00160087" w:rsidRDefault="003F3E57" w:rsidP="00A01ABF">
      <w:pPr>
        <w:pStyle w:val="Corpsdetexte"/>
        <w:spacing w:before="72"/>
        <w:jc w:val="both"/>
      </w:pPr>
      <w:r>
        <w:rPr>
          <w:rFonts w:hint="eastAsia"/>
          <w:color w:val="111111"/>
        </w:rPr>
        <w:t>红霉素</w:t>
      </w:r>
    </w:p>
    <w:p w:rsidR="003F3E57" w:rsidRDefault="003F3E57" w:rsidP="00A01ABF">
      <w:pPr>
        <w:pStyle w:val="Corpsdetexte"/>
        <w:spacing w:before="72"/>
        <w:ind w:left="128"/>
        <w:jc w:val="both"/>
        <w:rPr>
          <w:color w:val="111111"/>
          <w:spacing w:val="26"/>
        </w:rPr>
      </w:pPr>
      <w:r>
        <w:rPr>
          <w:rFonts w:hint="eastAsia"/>
        </w:rPr>
        <w:br w:type="column"/>
      </w:r>
      <w:r>
        <w:rPr>
          <w:rFonts w:hint="eastAsia"/>
          <w:color w:val="111111"/>
        </w:rPr>
        <w:t>苄腈</w:t>
      </w:r>
    </w:p>
    <w:p w:rsidR="003F3E57" w:rsidRDefault="003F3E57" w:rsidP="00A01ABF">
      <w:pPr>
        <w:pStyle w:val="Corpsdetexte"/>
        <w:spacing w:before="72"/>
        <w:ind w:left="128"/>
        <w:jc w:val="both"/>
        <w:rPr>
          <w:color w:val="111111"/>
          <w:spacing w:val="26"/>
        </w:rPr>
      </w:pPr>
      <w:r>
        <w:rPr>
          <w:rFonts w:hint="eastAsia"/>
          <w:color w:val="111111"/>
        </w:rPr>
        <w:t>氟康唑</w:t>
      </w:r>
    </w:p>
    <w:p w:rsidR="003F3E57" w:rsidRDefault="003F3E57" w:rsidP="00A01ABF">
      <w:pPr>
        <w:pStyle w:val="Corpsdetexte"/>
        <w:spacing w:before="72"/>
        <w:ind w:left="128"/>
        <w:jc w:val="both"/>
        <w:rPr>
          <w:color w:val="111111"/>
          <w:spacing w:val="27"/>
        </w:rPr>
      </w:pPr>
      <w:r>
        <w:rPr>
          <w:rFonts w:hint="eastAsia"/>
          <w:color w:val="111111"/>
        </w:rPr>
        <w:t>氟伏沙明</w:t>
      </w:r>
    </w:p>
    <w:p w:rsidR="003F3E57" w:rsidRDefault="003F3E57" w:rsidP="00A01ABF">
      <w:pPr>
        <w:pStyle w:val="Corpsdetexte"/>
        <w:spacing w:before="72"/>
        <w:ind w:left="128"/>
        <w:jc w:val="both"/>
        <w:rPr>
          <w:color w:val="111111"/>
          <w:spacing w:val="28"/>
        </w:rPr>
      </w:pPr>
      <w:r>
        <w:rPr>
          <w:rFonts w:hint="eastAsia"/>
          <w:color w:val="111111"/>
        </w:rPr>
        <w:t>福斯纳普坦</w:t>
      </w:r>
    </w:p>
    <w:p w:rsidR="003F3E57" w:rsidRDefault="003F3E57" w:rsidP="00A01ABF">
      <w:pPr>
        <w:pStyle w:val="Corpsdetexte"/>
        <w:spacing w:before="72"/>
        <w:ind w:left="128"/>
        <w:jc w:val="both"/>
        <w:rPr>
          <w:color w:val="111111"/>
          <w:spacing w:val="27"/>
        </w:rPr>
      </w:pPr>
      <w:r>
        <w:rPr>
          <w:rFonts w:hint="eastAsia"/>
          <w:color w:val="111111"/>
        </w:rPr>
        <w:t>磷苯妥英</w:t>
      </w:r>
    </w:p>
    <w:p w:rsidR="003F3E57" w:rsidRDefault="003F3E57" w:rsidP="00A01ABF">
      <w:pPr>
        <w:pStyle w:val="Corpsdetexte"/>
        <w:spacing w:before="72"/>
        <w:ind w:left="128"/>
        <w:jc w:val="both"/>
        <w:rPr>
          <w:color w:val="111111"/>
          <w:spacing w:val="22"/>
        </w:rPr>
      </w:pPr>
      <w:r>
        <w:rPr>
          <w:rFonts w:hint="eastAsia"/>
          <w:color w:val="111111"/>
        </w:rPr>
        <w:t>艾代拉利司</w:t>
      </w:r>
    </w:p>
    <w:p w:rsidR="003F3E57" w:rsidRDefault="003F3E57" w:rsidP="00A01ABF">
      <w:pPr>
        <w:pStyle w:val="Corpsdetexte"/>
        <w:spacing w:before="72"/>
        <w:ind w:left="128"/>
        <w:jc w:val="both"/>
        <w:rPr>
          <w:color w:val="111111"/>
          <w:spacing w:val="22"/>
        </w:rPr>
      </w:pPr>
      <w:r>
        <w:rPr>
          <w:rFonts w:hint="eastAsia"/>
          <w:color w:val="111111"/>
        </w:rPr>
        <w:t>伊马替尼</w:t>
      </w:r>
    </w:p>
    <w:p w:rsidR="003F3E57" w:rsidRDefault="003F3E57" w:rsidP="00A01ABF">
      <w:pPr>
        <w:pStyle w:val="Corpsdetexte"/>
        <w:spacing w:before="72"/>
        <w:ind w:left="128"/>
        <w:jc w:val="both"/>
        <w:rPr>
          <w:color w:val="111111"/>
          <w:spacing w:val="24"/>
        </w:rPr>
      </w:pPr>
      <w:r>
        <w:rPr>
          <w:rFonts w:hint="eastAsia"/>
          <w:color w:val="111111"/>
        </w:rPr>
        <w:t>茚地那韦</w:t>
      </w:r>
    </w:p>
    <w:p w:rsidR="003F3E57" w:rsidRDefault="003F3E57" w:rsidP="00A01ABF">
      <w:pPr>
        <w:pStyle w:val="Corpsdetexte"/>
        <w:spacing w:before="72"/>
        <w:ind w:left="128"/>
        <w:jc w:val="both"/>
        <w:rPr>
          <w:color w:val="111111"/>
          <w:spacing w:val="27"/>
        </w:rPr>
      </w:pPr>
      <w:r>
        <w:rPr>
          <w:rFonts w:hint="eastAsia"/>
          <w:color w:val="111111"/>
        </w:rPr>
        <w:t>伊曲康唑</w:t>
      </w:r>
    </w:p>
    <w:p w:rsidR="003F3E57" w:rsidRDefault="003F3E57" w:rsidP="00A01ABF">
      <w:pPr>
        <w:pStyle w:val="Corpsdetexte"/>
        <w:spacing w:before="72"/>
        <w:ind w:left="128"/>
        <w:jc w:val="both"/>
        <w:rPr>
          <w:color w:val="111111"/>
          <w:spacing w:val="28"/>
        </w:rPr>
      </w:pPr>
      <w:r>
        <w:rPr>
          <w:rFonts w:hint="eastAsia"/>
          <w:color w:val="111111"/>
        </w:rPr>
        <w:t>酮康唑</w:t>
      </w:r>
    </w:p>
    <w:p w:rsidR="003F3E57" w:rsidRDefault="003F3E57" w:rsidP="00A01ABF">
      <w:pPr>
        <w:pStyle w:val="Corpsdetexte"/>
        <w:spacing w:before="72"/>
        <w:ind w:left="128"/>
        <w:jc w:val="both"/>
        <w:rPr>
          <w:color w:val="111111"/>
          <w:spacing w:val="25"/>
        </w:rPr>
      </w:pPr>
      <w:r>
        <w:rPr>
          <w:rFonts w:hint="eastAsia"/>
          <w:color w:val="111111"/>
        </w:rPr>
        <w:t>利特莫韦</w:t>
      </w:r>
    </w:p>
    <w:p w:rsidR="003F3E57" w:rsidRDefault="003F3E57" w:rsidP="00A01ABF">
      <w:pPr>
        <w:pStyle w:val="Corpsdetexte"/>
        <w:spacing w:before="72"/>
        <w:ind w:left="128"/>
        <w:jc w:val="both"/>
        <w:rPr>
          <w:color w:val="111111"/>
          <w:spacing w:val="24"/>
        </w:rPr>
      </w:pPr>
      <w:r>
        <w:rPr>
          <w:rFonts w:hint="eastAsia"/>
          <w:color w:val="111111"/>
        </w:rPr>
        <w:t>洛匹那韦</w:t>
      </w:r>
    </w:p>
    <w:p w:rsidR="003F3E57" w:rsidRDefault="003F3E57" w:rsidP="00A01ABF">
      <w:pPr>
        <w:pStyle w:val="Corpsdetexte"/>
        <w:spacing w:before="72"/>
        <w:ind w:left="128"/>
        <w:jc w:val="both"/>
        <w:rPr>
          <w:color w:val="111111"/>
          <w:spacing w:val="25"/>
        </w:rPr>
      </w:pPr>
      <w:r>
        <w:rPr>
          <w:rFonts w:hint="eastAsia"/>
          <w:color w:val="111111"/>
        </w:rPr>
        <w:t>氯拉替尼</w:t>
      </w:r>
    </w:p>
    <w:p w:rsidR="003F3E57" w:rsidRDefault="003F3E57" w:rsidP="00A01ABF">
      <w:pPr>
        <w:pStyle w:val="Corpsdetexte"/>
        <w:spacing w:before="72"/>
        <w:ind w:left="128"/>
        <w:jc w:val="both"/>
        <w:rPr>
          <w:color w:val="111111"/>
          <w:spacing w:val="26"/>
        </w:rPr>
      </w:pPr>
      <w:r>
        <w:rPr>
          <w:rFonts w:hint="eastAsia"/>
          <w:color w:val="111111"/>
        </w:rPr>
        <w:t>鲁玛卡托</w:t>
      </w:r>
    </w:p>
    <w:p w:rsidR="003F3E57" w:rsidRDefault="003F3E57" w:rsidP="00A01ABF">
      <w:pPr>
        <w:pStyle w:val="Corpsdetexte"/>
        <w:spacing w:before="72"/>
        <w:ind w:left="128"/>
        <w:jc w:val="both"/>
        <w:rPr>
          <w:color w:val="111111"/>
          <w:spacing w:val="26"/>
        </w:rPr>
      </w:pPr>
      <w:r>
        <w:rPr>
          <w:rFonts w:hint="eastAsia"/>
          <w:color w:val="111111"/>
        </w:rPr>
        <w:t>米托坦</w:t>
      </w:r>
    </w:p>
    <w:p w:rsidR="003F3E57" w:rsidRDefault="003F3E57" w:rsidP="00A01ABF">
      <w:pPr>
        <w:pStyle w:val="Corpsdetexte"/>
        <w:spacing w:before="72"/>
        <w:ind w:left="128"/>
        <w:jc w:val="both"/>
        <w:rPr>
          <w:color w:val="111111"/>
          <w:spacing w:val="25"/>
        </w:rPr>
      </w:pPr>
      <w:r>
        <w:rPr>
          <w:rFonts w:hint="eastAsia"/>
          <w:color w:val="111111"/>
        </w:rPr>
        <w:t>莫达非尼</w:t>
      </w:r>
    </w:p>
    <w:p w:rsidR="00160087" w:rsidRDefault="003F3E57" w:rsidP="00A01ABF">
      <w:pPr>
        <w:pStyle w:val="Corpsdetexte"/>
        <w:spacing w:before="72"/>
        <w:ind w:left="128"/>
        <w:jc w:val="both"/>
      </w:pPr>
      <w:r>
        <w:rPr>
          <w:rFonts w:hint="eastAsia"/>
          <w:color w:val="111111"/>
        </w:rPr>
        <w:t>纳夫西林</w:t>
      </w:r>
    </w:p>
    <w:p w:rsidR="003F3E57" w:rsidRDefault="003F3E57" w:rsidP="00A01ABF">
      <w:pPr>
        <w:pStyle w:val="Corpsdetexte"/>
        <w:spacing w:before="72"/>
        <w:ind w:right="1322"/>
        <w:jc w:val="both"/>
        <w:rPr>
          <w:color w:val="111111"/>
          <w:spacing w:val="28"/>
        </w:rPr>
      </w:pPr>
      <w:r>
        <w:rPr>
          <w:rFonts w:hint="eastAsia"/>
        </w:rPr>
        <w:br w:type="column"/>
      </w:r>
      <w:r>
        <w:rPr>
          <w:rFonts w:hint="eastAsia"/>
          <w:color w:val="111111"/>
        </w:rPr>
        <w:t>尼法佐酮</w:t>
      </w:r>
    </w:p>
    <w:p w:rsidR="003F3E57" w:rsidRDefault="003F3E57" w:rsidP="00A01ABF">
      <w:pPr>
        <w:pStyle w:val="Corpsdetexte"/>
        <w:spacing w:before="72"/>
        <w:ind w:right="1322"/>
        <w:jc w:val="both"/>
        <w:rPr>
          <w:color w:val="111111"/>
          <w:spacing w:val="22"/>
        </w:rPr>
      </w:pPr>
      <w:r>
        <w:rPr>
          <w:rFonts w:hint="eastAsia"/>
          <w:color w:val="111111"/>
        </w:rPr>
        <w:t>奈非那韦</w:t>
      </w:r>
    </w:p>
    <w:p w:rsidR="003F3E57" w:rsidRDefault="003F3E57" w:rsidP="00A01ABF">
      <w:pPr>
        <w:pStyle w:val="Corpsdetexte"/>
        <w:spacing w:before="72"/>
        <w:ind w:right="1322"/>
        <w:jc w:val="both"/>
        <w:rPr>
          <w:color w:val="111111"/>
          <w:spacing w:val="25"/>
        </w:rPr>
      </w:pPr>
      <w:r>
        <w:rPr>
          <w:rFonts w:hint="eastAsia"/>
          <w:color w:val="111111"/>
        </w:rPr>
        <w:t>奈妥匹坦</w:t>
      </w:r>
    </w:p>
    <w:p w:rsidR="003F3E57" w:rsidRDefault="003F3E57" w:rsidP="00A01ABF">
      <w:pPr>
        <w:pStyle w:val="Corpsdetexte"/>
        <w:spacing w:before="72"/>
        <w:ind w:right="1322"/>
        <w:jc w:val="both"/>
        <w:rPr>
          <w:color w:val="111111"/>
          <w:spacing w:val="21"/>
        </w:rPr>
      </w:pPr>
      <w:r>
        <w:rPr>
          <w:rFonts w:hint="eastAsia"/>
          <w:color w:val="111111"/>
        </w:rPr>
        <w:t>尼罗替尼</w:t>
      </w:r>
    </w:p>
    <w:p w:rsidR="003F3E57" w:rsidRDefault="003F3E57" w:rsidP="00A01ABF">
      <w:pPr>
        <w:pStyle w:val="Corpsdetexte"/>
        <w:spacing w:before="72"/>
        <w:ind w:right="1322"/>
        <w:jc w:val="both"/>
        <w:rPr>
          <w:color w:val="111111"/>
          <w:spacing w:val="28"/>
        </w:rPr>
      </w:pPr>
      <w:r>
        <w:rPr>
          <w:rFonts w:hint="eastAsia"/>
          <w:color w:val="111111"/>
        </w:rPr>
        <w:t>苯巴比妥</w:t>
      </w:r>
    </w:p>
    <w:p w:rsidR="003F3E57" w:rsidRDefault="003F3E57" w:rsidP="00A01ABF">
      <w:pPr>
        <w:pStyle w:val="Corpsdetexte"/>
        <w:spacing w:before="72"/>
        <w:ind w:right="1322"/>
        <w:jc w:val="both"/>
        <w:rPr>
          <w:color w:val="111111"/>
          <w:spacing w:val="26"/>
        </w:rPr>
      </w:pPr>
      <w:r>
        <w:rPr>
          <w:rFonts w:hint="eastAsia"/>
          <w:color w:val="111111"/>
        </w:rPr>
        <w:t>苯妥英钠</w:t>
      </w:r>
    </w:p>
    <w:p w:rsidR="003F3E57" w:rsidRDefault="003F3E57" w:rsidP="00A01ABF">
      <w:pPr>
        <w:pStyle w:val="Corpsdetexte"/>
        <w:spacing w:before="72"/>
        <w:ind w:right="1322"/>
        <w:jc w:val="both"/>
        <w:rPr>
          <w:color w:val="111111"/>
          <w:spacing w:val="27"/>
        </w:rPr>
      </w:pPr>
      <w:r>
        <w:rPr>
          <w:rFonts w:hint="eastAsia"/>
          <w:color w:val="111111"/>
        </w:rPr>
        <w:t>波沙康唑</w:t>
      </w:r>
    </w:p>
    <w:p w:rsidR="003F3E57" w:rsidRDefault="003F3E57" w:rsidP="00A01ABF">
      <w:pPr>
        <w:pStyle w:val="Corpsdetexte"/>
        <w:spacing w:before="72"/>
        <w:ind w:right="1322"/>
        <w:jc w:val="both"/>
        <w:rPr>
          <w:color w:val="111111"/>
          <w:spacing w:val="24"/>
        </w:rPr>
      </w:pPr>
      <w:r>
        <w:rPr>
          <w:rFonts w:hint="eastAsia"/>
          <w:color w:val="111111"/>
        </w:rPr>
        <w:t>普里米酮</w:t>
      </w:r>
    </w:p>
    <w:p w:rsidR="003F3E57" w:rsidRDefault="003F3E57" w:rsidP="00A01ABF">
      <w:pPr>
        <w:pStyle w:val="Corpsdetexte"/>
        <w:spacing w:before="72"/>
        <w:ind w:right="1322"/>
        <w:jc w:val="both"/>
        <w:rPr>
          <w:color w:val="111111"/>
          <w:spacing w:val="24"/>
        </w:rPr>
      </w:pPr>
      <w:r>
        <w:rPr>
          <w:rFonts w:hint="eastAsia"/>
          <w:color w:val="111111"/>
        </w:rPr>
        <w:t>利福布汀</w:t>
      </w:r>
    </w:p>
    <w:p w:rsidR="003F3E57" w:rsidRDefault="003F3E57" w:rsidP="00A01ABF">
      <w:pPr>
        <w:pStyle w:val="Corpsdetexte"/>
        <w:spacing w:before="72"/>
        <w:ind w:right="1322"/>
        <w:jc w:val="both"/>
        <w:rPr>
          <w:color w:val="111111"/>
          <w:spacing w:val="23"/>
        </w:rPr>
      </w:pPr>
      <w:r>
        <w:rPr>
          <w:rFonts w:hint="eastAsia"/>
          <w:color w:val="111111"/>
        </w:rPr>
        <w:t>利福平</w:t>
      </w:r>
    </w:p>
    <w:p w:rsidR="003F3E57" w:rsidRDefault="003F3E57" w:rsidP="00A01ABF">
      <w:pPr>
        <w:pStyle w:val="Corpsdetexte"/>
        <w:spacing w:before="72"/>
        <w:ind w:right="1322"/>
        <w:jc w:val="both"/>
        <w:rPr>
          <w:color w:val="111111"/>
          <w:spacing w:val="23"/>
        </w:rPr>
      </w:pPr>
      <w:r>
        <w:rPr>
          <w:rFonts w:hint="eastAsia"/>
          <w:color w:val="111111"/>
        </w:rPr>
        <w:t>利托那韦</w:t>
      </w:r>
    </w:p>
    <w:p w:rsidR="00160087" w:rsidRDefault="003F3E57" w:rsidP="00A01ABF">
      <w:pPr>
        <w:pStyle w:val="Corpsdetexte"/>
        <w:spacing w:before="72"/>
        <w:ind w:right="1322"/>
        <w:jc w:val="both"/>
      </w:pPr>
      <w:r>
        <w:rPr>
          <w:rFonts w:hint="eastAsia"/>
          <w:color w:val="111111"/>
        </w:rPr>
        <w:t>沙奎那维</w:t>
      </w:r>
    </w:p>
    <w:p w:rsidR="003F3E57" w:rsidRDefault="003F3E57" w:rsidP="00A01ABF">
      <w:pPr>
        <w:pStyle w:val="Corpsdetexte"/>
        <w:ind w:right="1322"/>
        <w:jc w:val="both"/>
        <w:rPr>
          <w:color w:val="111111"/>
          <w:spacing w:val="26"/>
        </w:rPr>
      </w:pPr>
      <w:r>
        <w:rPr>
          <w:rFonts w:hint="eastAsia"/>
          <w:color w:val="111111"/>
        </w:rPr>
        <w:t>贯叶连翘</w:t>
      </w:r>
    </w:p>
    <w:p w:rsidR="003F3E57" w:rsidRDefault="003F3E57" w:rsidP="00A01ABF">
      <w:pPr>
        <w:pStyle w:val="Corpsdetexte"/>
        <w:ind w:right="1322"/>
        <w:jc w:val="both"/>
        <w:rPr>
          <w:color w:val="111111"/>
          <w:spacing w:val="25"/>
        </w:rPr>
      </w:pPr>
      <w:r>
        <w:rPr>
          <w:rFonts w:hint="eastAsia"/>
          <w:color w:val="111111"/>
        </w:rPr>
        <w:t>特拉普韦</w:t>
      </w:r>
    </w:p>
    <w:p w:rsidR="003F3E57" w:rsidRDefault="003F3E57" w:rsidP="00A01ABF">
      <w:pPr>
        <w:pStyle w:val="Corpsdetexte"/>
        <w:ind w:right="1322"/>
        <w:jc w:val="both"/>
        <w:rPr>
          <w:color w:val="111111"/>
          <w:spacing w:val="27"/>
        </w:rPr>
      </w:pPr>
      <w:r>
        <w:rPr>
          <w:rFonts w:hint="eastAsia"/>
          <w:color w:val="111111"/>
        </w:rPr>
        <w:t>泰利霉素</w:t>
      </w:r>
    </w:p>
    <w:p w:rsidR="003F3E57" w:rsidRDefault="003F3E57" w:rsidP="00A01ABF">
      <w:pPr>
        <w:pStyle w:val="Corpsdetexte"/>
        <w:ind w:right="1322"/>
        <w:jc w:val="both"/>
        <w:rPr>
          <w:color w:val="111111"/>
          <w:spacing w:val="27"/>
        </w:rPr>
      </w:pPr>
      <w:r>
        <w:rPr>
          <w:rFonts w:hint="eastAsia"/>
          <w:color w:val="111111"/>
        </w:rPr>
        <w:t>维拉帕米</w:t>
      </w:r>
    </w:p>
    <w:p w:rsidR="00160087" w:rsidRDefault="003F3E57" w:rsidP="00A01ABF">
      <w:pPr>
        <w:pStyle w:val="Corpsdetexte"/>
        <w:ind w:right="1322"/>
        <w:jc w:val="both"/>
      </w:pPr>
      <w:r>
        <w:rPr>
          <w:rFonts w:hint="eastAsia"/>
          <w:color w:val="111111"/>
        </w:rPr>
        <w:t>伏立康唑</w:t>
      </w:r>
    </w:p>
    <w:p w:rsidR="00160087" w:rsidRDefault="00160087" w:rsidP="00A01ABF">
      <w:pPr>
        <w:jc w:val="both"/>
        <w:sectPr w:rsidR="00160087">
          <w:type w:val="continuous"/>
          <w:pgSz w:w="12240" w:h="15840"/>
          <w:pgMar w:top="2820" w:right="1020" w:bottom="1000" w:left="880" w:header="720" w:footer="720" w:gutter="0"/>
          <w:cols w:num="3" w:space="720" w:equalWidth="0">
            <w:col w:w="1684" w:space="1910"/>
            <w:col w:w="1464" w:space="2131"/>
            <w:col w:w="3151"/>
          </w:cols>
        </w:sectPr>
      </w:pPr>
    </w:p>
    <w:p w:rsidR="00160087" w:rsidRDefault="00160087" w:rsidP="00A01ABF">
      <w:pPr>
        <w:jc w:val="both"/>
        <w:rPr>
          <w:rFonts w:ascii="Arial" w:eastAsia="Arial" w:hAnsi="Arial" w:cs="Arial"/>
          <w:sz w:val="20"/>
          <w:szCs w:val="20"/>
        </w:rPr>
      </w:pPr>
    </w:p>
    <w:p w:rsidR="00160087" w:rsidRPr="003F3E57" w:rsidRDefault="003F3E57" w:rsidP="00A01ABF">
      <w:pPr>
        <w:pStyle w:val="Corpsdetexte"/>
        <w:ind w:right="145"/>
        <w:jc w:val="both"/>
        <w:rPr>
          <w:spacing w:val="-1"/>
        </w:rPr>
      </w:pPr>
      <w:r>
        <w:rPr>
          <w:rFonts w:hint="eastAsia"/>
        </w:rPr>
        <w:t>请勿在未咨询过医疗团队的情况下服用其他药物。这包括处方药、非处方药</w:t>
      </w:r>
      <w:r>
        <w:rPr>
          <w:rFonts w:hint="eastAsia"/>
        </w:rPr>
        <w:t xml:space="preserve"> (OTC)</w:t>
      </w:r>
      <w:r>
        <w:rPr>
          <w:rFonts w:hint="eastAsia"/>
        </w:rPr>
        <w:t>、草药或维生素补充剂。在使用</w:t>
      </w:r>
      <w:r>
        <w:rPr>
          <w:rFonts w:hint="eastAsia"/>
        </w:rPr>
        <w:t xml:space="preserve"> </w:t>
      </w:r>
      <w:proofErr w:type="spellStart"/>
      <w:r>
        <w:rPr>
          <w:rFonts w:hint="eastAsia"/>
        </w:rPr>
        <w:t>zanubrutinib</w:t>
      </w:r>
      <w:proofErr w:type="spellEnd"/>
      <w:r>
        <w:rPr>
          <w:rFonts w:hint="eastAsia"/>
        </w:rPr>
        <w:t>（赞鲁替尼）进行治疗期间，不得摄入西柚和西柚汁。</w:t>
      </w:r>
    </w:p>
    <w:p w:rsidR="003F3E57" w:rsidRDefault="003F3E57" w:rsidP="00A01ABF">
      <w:pPr>
        <w:pStyle w:val="Corpsdetexte"/>
        <w:spacing w:before="72"/>
        <w:ind w:right="141"/>
        <w:jc w:val="both"/>
        <w:rPr>
          <w:rFonts w:cs="Arial"/>
          <w:sz w:val="17"/>
          <w:szCs w:val="17"/>
        </w:rPr>
      </w:pPr>
    </w:p>
    <w:p w:rsidR="00160087" w:rsidRDefault="003F3E57" w:rsidP="00A01ABF">
      <w:pPr>
        <w:pStyle w:val="Titre1"/>
        <w:spacing w:before="72" w:line="252" w:lineRule="exact"/>
        <w:jc w:val="both"/>
        <w:rPr>
          <w:b w:val="0"/>
          <w:bCs w:val="0"/>
        </w:rPr>
      </w:pPr>
      <w:proofErr w:type="spellStart"/>
      <w:r>
        <w:rPr>
          <w:rFonts w:hint="eastAsia"/>
        </w:rPr>
        <w:t>zanubrutinib</w:t>
      </w:r>
      <w:proofErr w:type="spellEnd"/>
      <w:r>
        <w:rPr>
          <w:rFonts w:hint="eastAsia"/>
        </w:rPr>
        <w:t>（赞鲁替尼）的相关副作用：</w:t>
      </w:r>
    </w:p>
    <w:p w:rsidR="00160087" w:rsidRPr="003F3E57" w:rsidRDefault="003F3E57" w:rsidP="00A01ABF">
      <w:pPr>
        <w:pStyle w:val="Corpsdetexte"/>
        <w:ind w:right="145"/>
        <w:jc w:val="both"/>
        <w:rPr>
          <w:spacing w:val="-1"/>
        </w:rPr>
      </w:pPr>
      <w:r>
        <w:rPr>
          <w:rFonts w:hint="eastAsia"/>
        </w:rPr>
        <w:t>尽管</w:t>
      </w:r>
      <w:r>
        <w:rPr>
          <w:rFonts w:hint="eastAsia"/>
        </w:rPr>
        <w:t xml:space="preserve"> III </w:t>
      </w:r>
      <w:r>
        <w:rPr>
          <w:rFonts w:hint="eastAsia"/>
        </w:rPr>
        <w:t>期试验表明</w:t>
      </w:r>
      <w:r>
        <w:rPr>
          <w:rFonts w:hint="eastAsia"/>
        </w:rPr>
        <w:t xml:space="preserve"> </w:t>
      </w:r>
      <w:proofErr w:type="spellStart"/>
      <w:r>
        <w:rPr>
          <w:rFonts w:hint="eastAsia"/>
        </w:rPr>
        <w:t>zanubrutinib</w:t>
      </w:r>
      <w:proofErr w:type="spellEnd"/>
      <w:r>
        <w:rPr>
          <w:rFonts w:hint="eastAsia"/>
        </w:rPr>
        <w:t>（赞鲁替尼）治疗</w:t>
      </w:r>
      <w:r>
        <w:rPr>
          <w:rFonts w:hint="eastAsia"/>
        </w:rPr>
        <w:t xml:space="preserve"> WM </w:t>
      </w:r>
      <w:r>
        <w:rPr>
          <w:rFonts w:hint="eastAsia"/>
        </w:rPr>
        <w:t>患者的安全性和耐受性持续改善，但</w:t>
      </w:r>
      <w:r>
        <w:rPr>
          <w:rFonts w:hint="eastAsia"/>
        </w:rPr>
        <w:t xml:space="preserve"> </w:t>
      </w:r>
      <w:proofErr w:type="spellStart"/>
      <w:r>
        <w:rPr>
          <w:rFonts w:hint="eastAsia"/>
        </w:rPr>
        <w:t>zanubrutinib</w:t>
      </w:r>
      <w:proofErr w:type="spellEnd"/>
      <w:r>
        <w:rPr>
          <w:rFonts w:hint="eastAsia"/>
        </w:rPr>
        <w:t>（赞鲁替尼）可能会引起危及生命的严重副作用，包括严重的失血问题（内出血）、感染、血细胞计数下降、皮肤癌等新癌症，以及心律问题。</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服用</w:t>
      </w:r>
      <w:r>
        <w:rPr>
          <w:rFonts w:hint="eastAsia"/>
        </w:rPr>
        <w:t xml:space="preserve"> </w:t>
      </w:r>
      <w:proofErr w:type="spellStart"/>
      <w:r>
        <w:rPr>
          <w:rFonts w:hint="eastAsia"/>
        </w:rPr>
        <w:t>zanubrutinib</w:t>
      </w:r>
      <w:proofErr w:type="spellEnd"/>
      <w:r>
        <w:rPr>
          <w:rFonts w:hint="eastAsia"/>
        </w:rPr>
        <w:t>（赞鲁替尼）的患者最常见的副作用是中性粒细胞减少（循环中性粒细胞数量少，中性粒细胞是一种白细胞）、血小板减少（凝血所需的血小板数量少）、上呼吸道感染（如普通感冒）、白细胞总数减少、贫血（循环红细胞数量减少）、皮疹、腹泻、瘀伤和咳嗽。不太常见的副作用包括肌肉疼痛、肺炎、尿路感染、血尿症（尿中带血）、疲劳、便秘和比瘀伤更严重的失血问题，如内出血。</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其他潜在的严重副作用有心房颤动和心房扑动。患有高血压病（高血压）、既往性心律失常（心律不齐或异常）、急性感染等心脏危险因素的患者发生此副作用的风险可能增加。服用</w:t>
      </w:r>
      <w:r>
        <w:rPr>
          <w:rFonts w:hint="eastAsia"/>
        </w:rPr>
        <w:t xml:space="preserve"> </w:t>
      </w:r>
      <w:proofErr w:type="spellStart"/>
      <w:r>
        <w:rPr>
          <w:rFonts w:hint="eastAsia"/>
        </w:rPr>
        <w:t>zanubrutinib</w:t>
      </w:r>
      <w:proofErr w:type="spellEnd"/>
      <w:r>
        <w:rPr>
          <w:rFonts w:hint="eastAsia"/>
        </w:rPr>
        <w:t>（赞鲁替尼）的患者应定期监测心律失常（心悸、头晕、呼吸困难（呼吸短促））、严重感染、出血</w:t>
      </w:r>
      <w:r>
        <w:rPr>
          <w:rFonts w:hint="eastAsia"/>
        </w:rPr>
        <w:t>/</w:t>
      </w:r>
      <w:r>
        <w:rPr>
          <w:rFonts w:hint="eastAsia"/>
        </w:rPr>
        <w:t>大出血和血细胞数量降低等症状并予以适当治疗。</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proofErr w:type="spellStart"/>
      <w:r>
        <w:rPr>
          <w:rFonts w:hint="eastAsia"/>
        </w:rPr>
        <w:t>zanubrutinib</w:t>
      </w:r>
      <w:proofErr w:type="spellEnd"/>
      <w:r>
        <w:rPr>
          <w:rFonts w:hint="eastAsia"/>
        </w:rPr>
        <w:t>（赞鲁替尼）会使皮肤对阳光更敏感，并增加患皮肤癌的可能性，因此，应限制暴露在太阳下的时间，应使用防晒霜，穿戴尽可能遮盖皮肤的帽子和衣服。</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发生于少于</w:t>
      </w:r>
      <w:r>
        <w:rPr>
          <w:rFonts w:hint="eastAsia"/>
        </w:rPr>
        <w:t xml:space="preserve"> 10% </w:t>
      </w:r>
      <w:r>
        <w:rPr>
          <w:rFonts w:hint="eastAsia"/>
        </w:rPr>
        <w:t>的患者中且非常罕见的副作用未在此处列出。副作用的存在与否及</w:t>
      </w:r>
      <w:r>
        <w:rPr>
          <w:rFonts w:hint="eastAsia"/>
        </w:rPr>
        <w:t>/</w:t>
      </w:r>
      <w:r>
        <w:rPr>
          <w:rFonts w:hint="eastAsia"/>
        </w:rPr>
        <w:t>或其严重程度与药物疗效并无关联。</w:t>
      </w:r>
      <w:proofErr w:type="spellStart"/>
      <w:r>
        <w:rPr>
          <w:rFonts w:hint="eastAsia"/>
        </w:rPr>
        <w:t>zanubrutinib</w:t>
      </w:r>
      <w:proofErr w:type="spellEnd"/>
      <w:r>
        <w:rPr>
          <w:rFonts w:hint="eastAsia"/>
        </w:rPr>
        <w:t>（赞鲁替尼）的相关副作用可能完全可控，但应始终将其报告给医疗服务人员。大多数患者不会经历下列所有副作用。副作用的发作时间、持续时间以及严重程度通常可以预测。副作用大多具有可复性，并于治疗结束消失。</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处于生育年龄的男性及女性患者应在治疗期间及服用最后一剂药物后至少一个星期内（若由于疾病进展或不可控的副作用而要求患者停止治疗）采取有效的避孕措施。</w:t>
      </w:r>
      <w:proofErr w:type="spellStart"/>
      <w:r>
        <w:rPr>
          <w:rFonts w:hint="eastAsia"/>
        </w:rPr>
        <w:t>zanubrutinib</w:t>
      </w:r>
      <w:proofErr w:type="spellEnd"/>
      <w:r>
        <w:rPr>
          <w:rFonts w:hint="eastAsia"/>
        </w:rPr>
        <w:t>（赞鲁替尼）可能会对胎儿造成伤害，且目前尚不清楚此药物是否会出现于母乳中，因此孕妇或哺乳期女性不应服用此药物。</w:t>
      </w:r>
    </w:p>
    <w:p w:rsidR="00160087" w:rsidRDefault="00160087" w:rsidP="00A01ABF">
      <w:pPr>
        <w:spacing w:before="6"/>
        <w:jc w:val="both"/>
        <w:rPr>
          <w:rFonts w:ascii="Arial" w:eastAsia="Arial" w:hAnsi="Arial" w:cs="Arial"/>
          <w:sz w:val="24"/>
          <w:szCs w:val="24"/>
        </w:rPr>
      </w:pPr>
    </w:p>
    <w:p w:rsidR="00160087" w:rsidRDefault="003F3E57" w:rsidP="00A01ABF">
      <w:pPr>
        <w:pStyle w:val="Titre1"/>
        <w:spacing w:line="252" w:lineRule="exact"/>
        <w:jc w:val="both"/>
        <w:rPr>
          <w:b w:val="0"/>
          <w:bCs w:val="0"/>
        </w:rPr>
      </w:pPr>
      <w:r>
        <w:rPr>
          <w:rFonts w:hint="eastAsia"/>
        </w:rPr>
        <w:t>何时联系您的医生或医疗服务人员：</w:t>
      </w:r>
    </w:p>
    <w:p w:rsidR="00160087" w:rsidRPr="003F3E57" w:rsidRDefault="003F3E57" w:rsidP="00A01ABF">
      <w:pPr>
        <w:pStyle w:val="Corpsdetexte"/>
        <w:ind w:right="145"/>
        <w:jc w:val="both"/>
        <w:rPr>
          <w:spacing w:val="-1"/>
        </w:rPr>
      </w:pPr>
      <w:r>
        <w:rPr>
          <w:rFonts w:hint="eastAsia"/>
        </w:rPr>
        <w:t>若出现以下任何症状，无论白天或夜晚，请立即联系您的医生或医疗服务人员：发烧到</w:t>
      </w:r>
      <w:r>
        <w:rPr>
          <w:rFonts w:hint="eastAsia"/>
        </w:rPr>
        <w:t xml:space="preserve"> 38</w:t>
      </w:r>
      <w:r>
        <w:rPr>
          <w:rFonts w:hint="eastAsia"/>
        </w:rPr>
        <w:t>°</w:t>
      </w:r>
      <w:r>
        <w:rPr>
          <w:rFonts w:hint="eastAsia"/>
        </w:rPr>
        <w:t xml:space="preserve">C </w:t>
      </w:r>
      <w:r w:rsidR="00211C58">
        <w:t xml:space="preserve">      </w:t>
      </w:r>
      <w:r>
        <w:rPr>
          <w:rFonts w:hint="eastAsia"/>
        </w:rPr>
        <w:t>(100.4</w:t>
      </w:r>
      <w:r>
        <w:rPr>
          <w:rFonts w:hint="eastAsia"/>
        </w:rPr>
        <w:t>°</w:t>
      </w:r>
      <w:r>
        <w:rPr>
          <w:rFonts w:hint="eastAsia"/>
        </w:rPr>
        <w:t xml:space="preserve">F) </w:t>
      </w:r>
      <w:r>
        <w:rPr>
          <w:rFonts w:hint="eastAsia"/>
        </w:rPr>
        <w:t>及以上或者发冷（两者都可能是感染征兆）、呼吸急促或呼吸困难、咳嗽以及出血不止。</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如有任何出血体征或症状，请告知医疗团队，包括血便、黑色大便、焦油样大便、粉红色或棕色尿液、意外或严重出血、呕吐物带血或类似咖啡渣的呕吐物、咳血或咳出血块、瘀伤加重、头晕、虚弱、困惑、言语变化，或者持续很长时间的头痛。</w:t>
      </w:r>
      <w:proofErr w:type="spellStart"/>
      <w:r>
        <w:rPr>
          <w:rFonts w:hint="eastAsia"/>
        </w:rPr>
        <w:t>zanubrutinib</w:t>
      </w:r>
      <w:proofErr w:type="spellEnd"/>
      <w:r>
        <w:rPr>
          <w:rFonts w:hint="eastAsia"/>
        </w:rPr>
        <w:t>（赞鲁替尼）造成血液计数减少（白细胞、血小板和红细胞）是常见现象，但也可能很严重。在用</w:t>
      </w:r>
      <w:r>
        <w:rPr>
          <w:rFonts w:hint="eastAsia"/>
        </w:rPr>
        <w:t xml:space="preserve"> </w:t>
      </w:r>
      <w:proofErr w:type="spellStart"/>
      <w:r>
        <w:rPr>
          <w:rFonts w:hint="eastAsia"/>
        </w:rPr>
        <w:t>zanubrutinib</w:t>
      </w:r>
      <w:proofErr w:type="spellEnd"/>
      <w:r>
        <w:rPr>
          <w:rFonts w:hint="eastAsia"/>
        </w:rPr>
        <w:t>（赞鲁替尼）进行治疗期间，医疗团队应进行血液检测，以检查血液计数的变化。若有任何不寻常症状，请务必随时告知您的医疗服务人员。</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服用</w:t>
      </w:r>
      <w:r>
        <w:rPr>
          <w:rFonts w:hint="eastAsia"/>
        </w:rPr>
        <w:t xml:space="preserve"> </w:t>
      </w:r>
      <w:proofErr w:type="spellStart"/>
      <w:r>
        <w:rPr>
          <w:rFonts w:hint="eastAsia"/>
        </w:rPr>
        <w:t>zanubrutinib</w:t>
      </w:r>
      <w:proofErr w:type="spellEnd"/>
      <w:r>
        <w:rPr>
          <w:rFonts w:hint="eastAsia"/>
        </w:rPr>
        <w:t>（赞鲁替尼）期间的自我照护技巧：</w:t>
      </w:r>
    </w:p>
    <w:p w:rsidR="00160087" w:rsidRPr="003F3E57" w:rsidRDefault="003F3E57" w:rsidP="00A01ABF">
      <w:pPr>
        <w:pStyle w:val="Corpsdetexte"/>
        <w:ind w:right="145"/>
        <w:jc w:val="both"/>
        <w:rPr>
          <w:spacing w:val="-1"/>
        </w:rPr>
      </w:pPr>
      <w:r>
        <w:rPr>
          <w:rFonts w:hint="eastAsia"/>
        </w:rPr>
        <w:t>在接受</w:t>
      </w:r>
      <w:r>
        <w:rPr>
          <w:rFonts w:hint="eastAsia"/>
        </w:rPr>
        <w:t xml:space="preserve"> </w:t>
      </w:r>
      <w:proofErr w:type="spellStart"/>
      <w:r>
        <w:rPr>
          <w:rFonts w:hint="eastAsia"/>
        </w:rPr>
        <w:t>zanubrutinib</w:t>
      </w:r>
      <w:proofErr w:type="spellEnd"/>
      <w:r>
        <w:rPr>
          <w:rFonts w:hint="eastAsia"/>
        </w:rPr>
        <w:t>（赞鲁替尼）治疗期间，患者应避免食用西柚、西柚汁和贯叶连翘等草药补充剂。</w:t>
      </w:r>
      <w:proofErr w:type="spellStart"/>
      <w:r>
        <w:rPr>
          <w:rFonts w:hint="eastAsia"/>
        </w:rPr>
        <w:lastRenderedPageBreak/>
        <w:t>zanubrutinib</w:t>
      </w:r>
      <w:proofErr w:type="spellEnd"/>
      <w:r>
        <w:rPr>
          <w:rFonts w:hint="eastAsia"/>
        </w:rPr>
        <w:t>（赞鲁替尼）可能会进一步增加服用血液稀释剂药物（包括</w:t>
      </w:r>
      <w:r>
        <w:rPr>
          <w:rFonts w:hint="eastAsia"/>
        </w:rPr>
        <w:t xml:space="preserve"> Aspirin</w:t>
      </w:r>
      <w:r>
        <w:rPr>
          <w:rFonts w:hint="eastAsia"/>
        </w:rPr>
        <w:t>（阿司匹林））患者的出血风险。任何计划进行的外科手术或牙科手术都应与医疗服务人员商讨。根据出血风险的不同，可能需要在手术前后停用</w:t>
      </w:r>
      <w:r>
        <w:rPr>
          <w:rFonts w:hint="eastAsia"/>
        </w:rPr>
        <w:t xml:space="preserve"> </w:t>
      </w:r>
      <w:proofErr w:type="spellStart"/>
      <w:r>
        <w:rPr>
          <w:rFonts w:hint="eastAsia"/>
        </w:rPr>
        <w:t>zanubrutinib</w:t>
      </w:r>
      <w:proofErr w:type="spellEnd"/>
      <w:r>
        <w:rPr>
          <w:rFonts w:hint="eastAsia"/>
        </w:rPr>
        <w:t>（赞鲁替尼）一小段时间（</w:t>
      </w:r>
      <w:r>
        <w:rPr>
          <w:rFonts w:hint="eastAsia"/>
        </w:rPr>
        <w:t xml:space="preserve">3 - 7 </w:t>
      </w:r>
      <w:r>
        <w:rPr>
          <w:rFonts w:hint="eastAsia"/>
        </w:rPr>
        <w:t>天）。</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proofErr w:type="spellStart"/>
      <w:r>
        <w:rPr>
          <w:rFonts w:hint="eastAsia"/>
        </w:rPr>
        <w:t>zanubrutinib</w:t>
      </w:r>
      <w:proofErr w:type="spellEnd"/>
      <w:r>
        <w:rPr>
          <w:rFonts w:hint="eastAsia"/>
        </w:rPr>
        <w:t>（赞鲁替尼）可能降低灭活（非活性）疫苗的功效。服用</w:t>
      </w:r>
      <w:r>
        <w:rPr>
          <w:rFonts w:hint="eastAsia"/>
        </w:rPr>
        <w:t xml:space="preserve"> </w:t>
      </w:r>
      <w:proofErr w:type="spellStart"/>
      <w:r>
        <w:rPr>
          <w:rFonts w:hint="eastAsia"/>
        </w:rPr>
        <w:t>zanubrutinib</w:t>
      </w:r>
      <w:proofErr w:type="spellEnd"/>
      <w:r>
        <w:rPr>
          <w:rFonts w:hint="eastAsia"/>
        </w:rPr>
        <w:t>（赞鲁替尼）期间，未经医疗服务人员批准，不应进行免疫接种或疫苗接种。应在开始用药前至少两周完成所有适当的疫苗接种。如在治疗期间进行了接种，则在停用</w:t>
      </w:r>
      <w:r>
        <w:rPr>
          <w:rFonts w:hint="eastAsia"/>
        </w:rPr>
        <w:t xml:space="preserve"> </w:t>
      </w:r>
      <w:proofErr w:type="spellStart"/>
      <w:r>
        <w:rPr>
          <w:rFonts w:hint="eastAsia"/>
        </w:rPr>
        <w:t>zanubrutinib</w:t>
      </w:r>
      <w:proofErr w:type="spellEnd"/>
      <w:r>
        <w:rPr>
          <w:rFonts w:hint="eastAsia"/>
        </w:rPr>
        <w:t>（赞鲁替尼）至少</w:t>
      </w:r>
      <w:r>
        <w:rPr>
          <w:rFonts w:hint="eastAsia"/>
        </w:rPr>
        <w:t xml:space="preserve"> 3 </w:t>
      </w:r>
      <w:r>
        <w:rPr>
          <w:rFonts w:hint="eastAsia"/>
        </w:rPr>
        <w:t>个月后重新接种。接受免疫抑制疗法（如</w:t>
      </w:r>
      <w:r>
        <w:rPr>
          <w:rFonts w:hint="eastAsia"/>
        </w:rPr>
        <w:t xml:space="preserve"> </w:t>
      </w:r>
      <w:proofErr w:type="spellStart"/>
      <w:r>
        <w:rPr>
          <w:rFonts w:hint="eastAsia"/>
        </w:rPr>
        <w:t>zanubrutinib</w:t>
      </w:r>
      <w:proofErr w:type="spellEnd"/>
      <w:r>
        <w:rPr>
          <w:rFonts w:hint="eastAsia"/>
        </w:rPr>
        <w:t>（赞鲁替尼））的患者，应避免使用活微生物疫苗。在开始服用</w:t>
      </w:r>
      <w:r>
        <w:rPr>
          <w:rFonts w:hint="eastAsia"/>
        </w:rPr>
        <w:t xml:space="preserve"> </w:t>
      </w:r>
      <w:proofErr w:type="spellStart"/>
      <w:r>
        <w:rPr>
          <w:rFonts w:hint="eastAsia"/>
        </w:rPr>
        <w:t>zanubrutinib</w:t>
      </w:r>
      <w:proofErr w:type="spellEnd"/>
      <w:r>
        <w:rPr>
          <w:rFonts w:hint="eastAsia"/>
        </w:rPr>
        <w:t>（赞鲁替尼）之前，如果您感染或曾感染过乙型肝炎病毒</w:t>
      </w:r>
      <w:r>
        <w:rPr>
          <w:rFonts w:hint="eastAsia"/>
        </w:rPr>
        <w:t xml:space="preserve"> (HBV)</w:t>
      </w:r>
      <w:r>
        <w:rPr>
          <w:rFonts w:hint="eastAsia"/>
        </w:rPr>
        <w:t>，请通知您的医疗服务人员，因为在治疗期间可能会发生严重感染。</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除非另有医嘱，否则请摄取充足的水分，每</w:t>
      </w:r>
      <w:r>
        <w:rPr>
          <w:rFonts w:hint="eastAsia"/>
        </w:rPr>
        <w:t xml:space="preserve"> 24 </w:t>
      </w:r>
      <w:r>
        <w:rPr>
          <w:rFonts w:hint="eastAsia"/>
        </w:rPr>
        <w:t>小时必须至少喝</w:t>
      </w:r>
      <w:r>
        <w:rPr>
          <w:rFonts w:hint="eastAsia"/>
        </w:rPr>
        <w:t xml:space="preserve"> 2-3 </w:t>
      </w:r>
      <w:r>
        <w:rPr>
          <w:rFonts w:hint="eastAsia"/>
        </w:rPr>
        <w:t>公升水。</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经常用肥皂和水洗手，尽量不要用手触摸鼻子和嘴巴。</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由于感染风险可能增加，请尽量避免与人群或感冒患者接触；若有发烧或任何感染征兆，请立即告知您的医疗服务人员。</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请务必告知医生和药师您在服用的任何其他药物（包括处方药、非处方药、维生素、中草药疗法等），重点强调抗凝血药和其他影响血小板凝集的药物。</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使用电动剃须刀或软质牙刷，以最大程度减少出血。避免从事有身体接触的体育项目或可能导致受伤的活动。</w:t>
      </w:r>
    </w:p>
    <w:p w:rsidR="00160087" w:rsidRDefault="003F3E57" w:rsidP="00A01ABF">
      <w:pPr>
        <w:pStyle w:val="Corpsdetexte"/>
        <w:ind w:right="145"/>
        <w:jc w:val="both"/>
        <w:rPr>
          <w:spacing w:val="-1"/>
        </w:rPr>
      </w:pPr>
      <w:r>
        <w:rPr>
          <w:rFonts w:hint="eastAsia"/>
        </w:rPr>
        <w:t>如果出现恶心症状，请向您的医疗服务人员咨询止吐药物处方，少食多餐，以尽量减轻恶心症状。一般来说，在服用</w:t>
      </w:r>
      <w:r>
        <w:rPr>
          <w:rFonts w:hint="eastAsia"/>
        </w:rPr>
        <w:t xml:space="preserve"> </w:t>
      </w:r>
      <w:proofErr w:type="spellStart"/>
      <w:r>
        <w:rPr>
          <w:rFonts w:hint="eastAsia"/>
        </w:rPr>
        <w:t>zanubrutinib</w:t>
      </w:r>
      <w:proofErr w:type="spellEnd"/>
      <w:r>
        <w:rPr>
          <w:rFonts w:hint="eastAsia"/>
        </w:rPr>
        <w:t>（赞鲁替尼）期间，应尽可能减少饮用酒精饮料或完全避免。如果要在治疗期间饮用酒精，务必咨询医疗服务人员。</w:t>
      </w:r>
    </w:p>
    <w:p w:rsidR="003F3E57" w:rsidRDefault="003F3E57" w:rsidP="00A01ABF">
      <w:pPr>
        <w:pStyle w:val="Corpsdetexte"/>
        <w:ind w:right="145"/>
        <w:jc w:val="both"/>
        <w:rPr>
          <w:rFonts w:cs="Arial"/>
          <w:sz w:val="17"/>
          <w:szCs w:val="17"/>
        </w:rPr>
      </w:pPr>
    </w:p>
    <w:p w:rsidR="00160087" w:rsidRPr="003F3E57" w:rsidRDefault="003F3E57" w:rsidP="00A01ABF">
      <w:pPr>
        <w:pStyle w:val="Corpsdetexte"/>
        <w:ind w:right="145"/>
        <w:jc w:val="both"/>
        <w:rPr>
          <w:spacing w:val="-1"/>
        </w:rPr>
      </w:pPr>
      <w:r>
        <w:rPr>
          <w:rFonts w:hint="eastAsia"/>
        </w:rPr>
        <w:t>食用有助于减轻腹泻的食物：</w:t>
      </w:r>
    </w:p>
    <w:p w:rsidR="00160087" w:rsidRPr="003F3E57" w:rsidRDefault="003F3E57" w:rsidP="00A01ABF">
      <w:pPr>
        <w:pStyle w:val="Corpsdetexte"/>
        <w:numPr>
          <w:ilvl w:val="0"/>
          <w:numId w:val="2"/>
        </w:numPr>
        <w:ind w:right="145"/>
        <w:jc w:val="both"/>
        <w:rPr>
          <w:spacing w:val="-1"/>
        </w:rPr>
      </w:pPr>
      <w:r>
        <w:rPr>
          <w:rFonts w:hint="eastAsia"/>
        </w:rPr>
        <w:t>饮用大量的透明流体（每天</w:t>
      </w:r>
      <w:r>
        <w:rPr>
          <w:rFonts w:hint="eastAsia"/>
        </w:rPr>
        <w:t xml:space="preserve"> 8-10 </w:t>
      </w:r>
      <w:r>
        <w:rPr>
          <w:rFonts w:hint="eastAsia"/>
        </w:rPr>
        <w:t>杯）。示例：</w:t>
      </w:r>
      <w:r>
        <w:rPr>
          <w:rFonts w:hint="eastAsia"/>
        </w:rPr>
        <w:t>Gatorade®</w:t>
      </w:r>
      <w:r>
        <w:rPr>
          <w:rFonts w:hint="eastAsia"/>
        </w:rPr>
        <w:t>、清汤、</w:t>
      </w:r>
      <w:proofErr w:type="spellStart"/>
      <w:r>
        <w:rPr>
          <w:rFonts w:hint="eastAsia"/>
        </w:rPr>
        <w:t>Jello</w:t>
      </w:r>
      <w:proofErr w:type="spellEnd"/>
      <w:r>
        <w:rPr>
          <w:rFonts w:hint="eastAsia"/>
        </w:rPr>
        <w:t>®</w:t>
      </w:r>
      <w:r>
        <w:rPr>
          <w:rFonts w:hint="eastAsia"/>
        </w:rPr>
        <w:t>、水等。</w:t>
      </w:r>
    </w:p>
    <w:p w:rsidR="00160087" w:rsidRPr="003F3E57" w:rsidRDefault="003F3E57" w:rsidP="00A01ABF">
      <w:pPr>
        <w:pStyle w:val="Corpsdetexte"/>
        <w:numPr>
          <w:ilvl w:val="0"/>
          <w:numId w:val="2"/>
        </w:numPr>
        <w:ind w:right="145"/>
        <w:jc w:val="both"/>
        <w:rPr>
          <w:spacing w:val="-1"/>
        </w:rPr>
      </w:pPr>
      <w:r>
        <w:rPr>
          <w:rFonts w:hint="eastAsia"/>
        </w:rPr>
        <w:t>经常食用少量温和的低纤维食物。例如：香蕉、大米、面条、白面包、去皮鸡肉、火鸡或清淡的白鱼。</w:t>
      </w:r>
    </w:p>
    <w:p w:rsidR="00160087" w:rsidRPr="003F3E57" w:rsidRDefault="003F3E57" w:rsidP="00A01ABF">
      <w:pPr>
        <w:pStyle w:val="Corpsdetexte"/>
        <w:numPr>
          <w:ilvl w:val="0"/>
          <w:numId w:val="2"/>
        </w:numPr>
        <w:ind w:right="145"/>
        <w:jc w:val="both"/>
        <w:rPr>
          <w:spacing w:val="-1"/>
        </w:rPr>
      </w:pPr>
      <w:r>
        <w:rPr>
          <w:rFonts w:hint="eastAsia"/>
        </w:rPr>
        <w:t>避免食用：</w:t>
      </w:r>
    </w:p>
    <w:p w:rsidR="00160087" w:rsidRPr="003F3E57" w:rsidRDefault="003F3E57" w:rsidP="00A01ABF">
      <w:pPr>
        <w:pStyle w:val="Corpsdetexte"/>
        <w:numPr>
          <w:ilvl w:val="0"/>
          <w:numId w:val="3"/>
        </w:numPr>
        <w:ind w:left="1560" w:right="145"/>
        <w:jc w:val="both"/>
        <w:rPr>
          <w:spacing w:val="-1"/>
        </w:rPr>
      </w:pPr>
      <w:r>
        <w:rPr>
          <w:rFonts w:hint="eastAsia"/>
        </w:rPr>
        <w:t>油腻、多脂或油炸食品。</w:t>
      </w:r>
    </w:p>
    <w:p w:rsidR="00160087" w:rsidRPr="003F3E57" w:rsidRDefault="003F3E57" w:rsidP="00A01ABF">
      <w:pPr>
        <w:pStyle w:val="Corpsdetexte"/>
        <w:numPr>
          <w:ilvl w:val="0"/>
          <w:numId w:val="3"/>
        </w:numPr>
        <w:ind w:left="1560" w:right="145"/>
        <w:jc w:val="both"/>
        <w:rPr>
          <w:spacing w:val="-1"/>
        </w:rPr>
      </w:pPr>
      <w:r>
        <w:rPr>
          <w:rFonts w:hint="eastAsia"/>
        </w:rPr>
        <w:t>生蔬菜或水果。</w:t>
      </w:r>
    </w:p>
    <w:p w:rsidR="00160087" w:rsidRPr="003F3E57" w:rsidRDefault="003F3E57" w:rsidP="00A01ABF">
      <w:pPr>
        <w:pStyle w:val="Corpsdetexte"/>
        <w:numPr>
          <w:ilvl w:val="0"/>
          <w:numId w:val="3"/>
        </w:numPr>
        <w:ind w:left="1560" w:right="145"/>
        <w:jc w:val="both"/>
        <w:rPr>
          <w:spacing w:val="-1"/>
        </w:rPr>
      </w:pPr>
      <w:r>
        <w:rPr>
          <w:rFonts w:hint="eastAsia"/>
        </w:rPr>
        <w:t>浓香料。</w:t>
      </w:r>
    </w:p>
    <w:p w:rsidR="00160087" w:rsidRPr="003F3E57" w:rsidRDefault="003F3E57" w:rsidP="00A01ABF">
      <w:pPr>
        <w:pStyle w:val="Corpsdetexte"/>
        <w:numPr>
          <w:ilvl w:val="0"/>
          <w:numId w:val="3"/>
        </w:numPr>
        <w:ind w:left="1560" w:right="145"/>
        <w:jc w:val="both"/>
        <w:rPr>
          <w:spacing w:val="-1"/>
        </w:rPr>
      </w:pPr>
      <w:r>
        <w:rPr>
          <w:rFonts w:hint="eastAsia"/>
        </w:rPr>
        <w:t>全谷物面包、谷类、坚果和爆米花。</w:t>
      </w:r>
    </w:p>
    <w:p w:rsidR="00160087" w:rsidRPr="003F3E57" w:rsidRDefault="003F3E57" w:rsidP="00A01ABF">
      <w:pPr>
        <w:pStyle w:val="Corpsdetexte"/>
        <w:numPr>
          <w:ilvl w:val="0"/>
          <w:numId w:val="3"/>
        </w:numPr>
        <w:ind w:left="1560" w:right="145"/>
        <w:jc w:val="both"/>
        <w:rPr>
          <w:spacing w:val="-1"/>
        </w:rPr>
      </w:pPr>
      <w:r>
        <w:rPr>
          <w:rFonts w:hint="eastAsia"/>
        </w:rPr>
        <w:t>产生气体的食物和饮料（豆类、卷心菜、碳酸饮料）。</w:t>
      </w:r>
    </w:p>
    <w:p w:rsidR="00160087" w:rsidRPr="003F3E57" w:rsidRDefault="003F3E57" w:rsidP="00A01ABF">
      <w:pPr>
        <w:pStyle w:val="Corpsdetexte"/>
        <w:numPr>
          <w:ilvl w:val="0"/>
          <w:numId w:val="3"/>
        </w:numPr>
        <w:ind w:left="1560" w:right="145"/>
        <w:jc w:val="both"/>
        <w:rPr>
          <w:spacing w:val="-1"/>
        </w:rPr>
      </w:pPr>
      <w:r>
        <w:rPr>
          <w:rFonts w:hint="eastAsia"/>
        </w:rPr>
        <w:t>含乳糖的产品、补品或酒精。</w:t>
      </w:r>
    </w:p>
    <w:p w:rsidR="00160087" w:rsidRPr="003F3E57" w:rsidRDefault="003F3E57" w:rsidP="00A01ABF">
      <w:pPr>
        <w:pStyle w:val="Corpsdetexte"/>
        <w:numPr>
          <w:ilvl w:val="0"/>
          <w:numId w:val="3"/>
        </w:numPr>
        <w:ind w:left="1560" w:right="145"/>
        <w:jc w:val="both"/>
        <w:rPr>
          <w:spacing w:val="-1"/>
        </w:rPr>
      </w:pPr>
      <w:r>
        <w:rPr>
          <w:rFonts w:hint="eastAsia"/>
        </w:rPr>
        <w:t>限制含咖啡因的食物及饮料，以及极热或极冷的饮料。</w:t>
      </w:r>
    </w:p>
    <w:p w:rsidR="00160087" w:rsidRPr="003F3E57" w:rsidRDefault="00160087" w:rsidP="00A01ABF">
      <w:pPr>
        <w:pStyle w:val="Corpsdetexte"/>
        <w:ind w:left="1560" w:right="145"/>
        <w:jc w:val="both"/>
        <w:rPr>
          <w:spacing w:val="-1"/>
        </w:rPr>
      </w:pPr>
    </w:p>
    <w:p w:rsidR="00160087" w:rsidRPr="003F3E57" w:rsidRDefault="003F3E57" w:rsidP="00A01ABF">
      <w:pPr>
        <w:pStyle w:val="Corpsdetexte"/>
        <w:ind w:right="145"/>
        <w:jc w:val="both"/>
        <w:rPr>
          <w:spacing w:val="-1"/>
        </w:rPr>
      </w:pPr>
      <w:r>
        <w:rPr>
          <w:rFonts w:hint="eastAsia"/>
        </w:rPr>
        <w:t>如有腹泻症状，您的医生可为您开具和</w:t>
      </w:r>
      <w:r>
        <w:rPr>
          <w:rFonts w:hint="eastAsia"/>
        </w:rPr>
        <w:t>/</w:t>
      </w:r>
      <w:r>
        <w:rPr>
          <w:rFonts w:hint="eastAsia"/>
        </w:rPr>
        <w:t>或推荐非处方止泻药物，如</w:t>
      </w:r>
      <w:r>
        <w:rPr>
          <w:rFonts w:hint="eastAsia"/>
        </w:rPr>
        <w:t xml:space="preserve"> loperamide</w:t>
      </w:r>
      <w:r>
        <w:rPr>
          <w:rFonts w:hint="eastAsia"/>
        </w:rPr>
        <w:t>（洛哌丁胺）。</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避免在太阳下曝晒。涂防晒系数</w:t>
      </w:r>
      <w:r>
        <w:rPr>
          <w:rFonts w:hint="eastAsia"/>
        </w:rPr>
        <w:t xml:space="preserve"> (SPF) </w:t>
      </w:r>
      <w:r>
        <w:rPr>
          <w:rFonts w:hint="eastAsia"/>
        </w:rPr>
        <w:t>为</w:t>
      </w:r>
      <w:r>
        <w:rPr>
          <w:rFonts w:hint="eastAsia"/>
        </w:rPr>
        <w:t xml:space="preserve"> 30</w:t>
      </w:r>
      <w:r>
        <w:rPr>
          <w:rFonts w:hint="eastAsia"/>
        </w:rPr>
        <w:t>（或以上）的防晒霜，并穿着防护衣。</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保持充足的休息和适当的营养总是很重要，但在接受靶向治疗（包括</w:t>
      </w:r>
      <w:r>
        <w:rPr>
          <w:rFonts w:hint="eastAsia"/>
        </w:rPr>
        <w:t xml:space="preserve"> </w:t>
      </w:r>
      <w:proofErr w:type="spellStart"/>
      <w:r>
        <w:rPr>
          <w:rFonts w:hint="eastAsia"/>
        </w:rPr>
        <w:t>zanubrutinib</w:t>
      </w:r>
      <w:proofErr w:type="spellEnd"/>
      <w:r>
        <w:rPr>
          <w:rFonts w:hint="eastAsia"/>
        </w:rPr>
        <w:t>（赞鲁替尼））时，这一点更为重要。</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告知所有医疗服务人员您正在服用</w:t>
      </w:r>
      <w:r>
        <w:rPr>
          <w:rFonts w:hint="eastAsia"/>
        </w:rPr>
        <w:t xml:space="preserve"> </w:t>
      </w:r>
      <w:proofErr w:type="spellStart"/>
      <w:r>
        <w:rPr>
          <w:rFonts w:hint="eastAsia"/>
        </w:rPr>
        <w:t>zanubrutinib</w:t>
      </w:r>
      <w:proofErr w:type="spellEnd"/>
      <w:r>
        <w:rPr>
          <w:rFonts w:hint="eastAsia"/>
        </w:rPr>
        <w:t>（赞鲁替尼）。其中包括您的医生、护士、药师和牙医。如果在使用</w:t>
      </w:r>
      <w:r>
        <w:rPr>
          <w:rFonts w:hint="eastAsia"/>
        </w:rPr>
        <w:t xml:space="preserve"> </w:t>
      </w:r>
      <w:proofErr w:type="spellStart"/>
      <w:r>
        <w:rPr>
          <w:rFonts w:hint="eastAsia"/>
        </w:rPr>
        <w:t>zanubrutinib</w:t>
      </w:r>
      <w:proofErr w:type="spellEnd"/>
      <w:r>
        <w:rPr>
          <w:rFonts w:hint="eastAsia"/>
        </w:rPr>
        <w:t>（赞鲁替尼）进行治疗期间出现副作用或症状，请告知您的医疗服务人员。他们可为您开具药物并</w:t>
      </w:r>
      <w:r>
        <w:rPr>
          <w:rFonts w:hint="eastAsia"/>
        </w:rPr>
        <w:t>/</w:t>
      </w:r>
      <w:r>
        <w:rPr>
          <w:rFonts w:hint="eastAsia"/>
        </w:rPr>
        <w:t>或提供有效处理此类问题的建议。</w:t>
      </w:r>
    </w:p>
    <w:p w:rsidR="00160087" w:rsidRPr="003F3E57" w:rsidRDefault="00160087" w:rsidP="00A01ABF">
      <w:pPr>
        <w:pStyle w:val="Corpsdetexte"/>
        <w:ind w:right="145"/>
        <w:jc w:val="both"/>
        <w:rPr>
          <w:spacing w:val="-1"/>
        </w:rPr>
      </w:pPr>
    </w:p>
    <w:p w:rsidR="00160087" w:rsidRPr="003F3E57" w:rsidRDefault="003F3E57" w:rsidP="00A01ABF">
      <w:pPr>
        <w:pStyle w:val="Corpsdetexte"/>
        <w:ind w:right="145"/>
        <w:jc w:val="both"/>
        <w:rPr>
          <w:spacing w:val="-1"/>
        </w:rPr>
      </w:pPr>
      <w:r>
        <w:rPr>
          <w:rFonts w:hint="eastAsia"/>
        </w:rPr>
        <w:t>本文件并未包含所有可能的药物相互作用。</w:t>
      </w:r>
    </w:p>
    <w:p w:rsidR="00160087" w:rsidRDefault="00160087" w:rsidP="00A01ABF">
      <w:pPr>
        <w:jc w:val="both"/>
        <w:rPr>
          <w:rFonts w:ascii="Arial" w:eastAsia="Arial" w:hAnsi="Arial" w:cs="Arial"/>
          <w:sz w:val="30"/>
          <w:szCs w:val="30"/>
        </w:rPr>
      </w:pPr>
    </w:p>
    <w:p w:rsidR="00160087" w:rsidRDefault="003F3E57" w:rsidP="00A01ABF">
      <w:pPr>
        <w:pStyle w:val="Titre1"/>
        <w:jc w:val="both"/>
        <w:rPr>
          <w:b w:val="0"/>
          <w:bCs w:val="0"/>
        </w:rPr>
      </w:pPr>
      <w:r>
        <w:rPr>
          <w:rFonts w:hint="eastAsia"/>
        </w:rPr>
        <w:t>服用</w:t>
      </w:r>
      <w:r>
        <w:rPr>
          <w:rFonts w:hint="eastAsia"/>
        </w:rPr>
        <w:t xml:space="preserve"> </w:t>
      </w:r>
      <w:proofErr w:type="spellStart"/>
      <w:r>
        <w:rPr>
          <w:rFonts w:hint="eastAsia"/>
        </w:rPr>
        <w:t>zanubrutinib</w:t>
      </w:r>
      <w:proofErr w:type="spellEnd"/>
      <w:r>
        <w:rPr>
          <w:rFonts w:hint="eastAsia"/>
        </w:rPr>
        <w:t>（赞鲁替尼）期间的监测和测试：</w:t>
      </w:r>
    </w:p>
    <w:p w:rsidR="00160087" w:rsidRPr="003F3E57" w:rsidRDefault="003F3E57" w:rsidP="00A01ABF">
      <w:pPr>
        <w:pStyle w:val="Corpsdetexte"/>
        <w:ind w:right="145"/>
        <w:jc w:val="both"/>
        <w:rPr>
          <w:spacing w:val="-1"/>
        </w:rPr>
      </w:pPr>
      <w:r>
        <w:rPr>
          <w:rFonts w:hint="eastAsia"/>
        </w:rPr>
        <w:t>服用</w:t>
      </w:r>
      <w:r>
        <w:rPr>
          <w:rFonts w:hint="eastAsia"/>
        </w:rPr>
        <w:t xml:space="preserve"> </w:t>
      </w:r>
      <w:proofErr w:type="spellStart"/>
      <w:r>
        <w:rPr>
          <w:rFonts w:hint="eastAsia"/>
        </w:rPr>
        <w:t>zanubrutinib</w:t>
      </w:r>
      <w:proofErr w:type="spellEnd"/>
      <w:r>
        <w:rPr>
          <w:rFonts w:hint="eastAsia"/>
        </w:rPr>
        <w:t>（赞鲁替尼）期间，医生会定期为您做检查，以检测药物副作用并检查您对治疗的反应。您还要定期验血，以监测全血球计数</w:t>
      </w:r>
      <w:r>
        <w:rPr>
          <w:rFonts w:hint="eastAsia"/>
        </w:rPr>
        <w:t xml:space="preserve"> (CBC) </w:t>
      </w:r>
      <w:r>
        <w:rPr>
          <w:rFonts w:hint="eastAsia"/>
        </w:rPr>
        <w:t>以及其他器官的功能（比如肾脏和肝脏）。</w:t>
      </w:r>
    </w:p>
    <w:p w:rsidR="00160087" w:rsidRPr="003F3E57" w:rsidRDefault="00160087" w:rsidP="00A01ABF">
      <w:pPr>
        <w:pStyle w:val="Corpsdetexte"/>
        <w:ind w:right="145"/>
        <w:jc w:val="both"/>
        <w:rPr>
          <w:spacing w:val="-1"/>
        </w:rPr>
      </w:pPr>
    </w:p>
    <w:p w:rsidR="00160087" w:rsidRPr="00A01ABF" w:rsidRDefault="003F3E57" w:rsidP="00A01ABF">
      <w:pPr>
        <w:pStyle w:val="Corpsdetexte"/>
        <w:jc w:val="both"/>
        <w:rPr>
          <w:b/>
          <w:bCs/>
        </w:rPr>
      </w:pPr>
      <w:r>
        <w:rPr>
          <w:rFonts w:hint="eastAsia"/>
          <w:b/>
          <w:bCs/>
        </w:rPr>
        <w:t>请注意：本说明书中的信息旨在发挥教育和帮助作用，并不构成国际华氏巨球蛋白血症基金会</w:t>
      </w:r>
      <w:r>
        <w:rPr>
          <w:rFonts w:hint="eastAsia"/>
          <w:b/>
          <w:bCs/>
        </w:rPr>
        <w:t xml:space="preserve"> (</w:t>
      </w:r>
      <w:proofErr w:type="spellStart"/>
      <w:r>
        <w:rPr>
          <w:rFonts w:hint="eastAsia"/>
          <w:b/>
          <w:bCs/>
        </w:rPr>
        <w:t>IWMF</w:t>
      </w:r>
      <w:proofErr w:type="spellEnd"/>
      <w:r>
        <w:rPr>
          <w:rFonts w:hint="eastAsia"/>
          <w:b/>
          <w:bCs/>
        </w:rPr>
        <w:t xml:space="preserve">) </w:t>
      </w:r>
      <w:r>
        <w:rPr>
          <w:rFonts w:hint="eastAsia"/>
          <w:b/>
          <w:bCs/>
        </w:rPr>
        <w:t>提供的担保，亦不能替代专业的医疗建议。</w:t>
      </w:r>
      <w:proofErr w:type="spellStart"/>
      <w:r>
        <w:rPr>
          <w:rFonts w:hint="eastAsia"/>
          <w:b/>
          <w:bCs/>
        </w:rPr>
        <w:t>IWMF</w:t>
      </w:r>
      <w:proofErr w:type="spellEnd"/>
      <w:r>
        <w:rPr>
          <w:rFonts w:hint="eastAsia"/>
          <w:b/>
          <w:bCs/>
        </w:rPr>
        <w:t xml:space="preserve"> </w:t>
      </w:r>
      <w:r>
        <w:rPr>
          <w:rFonts w:hint="eastAsia"/>
          <w:b/>
          <w:bCs/>
        </w:rPr>
        <w:t>强烈推荐与医疗服务人员讨论具体的医疗条件、副作用与治疗方法。</w:t>
      </w:r>
    </w:p>
    <w:p w:rsidR="00160087" w:rsidRDefault="00160087" w:rsidP="00A01ABF">
      <w:pPr>
        <w:spacing w:before="4"/>
        <w:jc w:val="both"/>
        <w:rPr>
          <w:rFonts w:ascii="Arial" w:eastAsia="Arial" w:hAnsi="Arial" w:cs="Arial"/>
          <w:b/>
          <w:bCs/>
          <w:sz w:val="24"/>
          <w:szCs w:val="24"/>
        </w:rPr>
      </w:pPr>
    </w:p>
    <w:p w:rsidR="00160087" w:rsidRPr="003F3E57" w:rsidRDefault="003F3E57" w:rsidP="00A01ABF">
      <w:pPr>
        <w:pStyle w:val="Corpsdetexte"/>
        <w:ind w:right="145"/>
        <w:jc w:val="both"/>
        <w:rPr>
          <w:spacing w:val="-1"/>
        </w:rPr>
      </w:pPr>
      <w:proofErr w:type="spellStart"/>
      <w:r>
        <w:rPr>
          <w:rFonts w:hint="eastAsia"/>
        </w:rPr>
        <w:t>IWMF</w:t>
      </w:r>
      <w:proofErr w:type="spellEnd"/>
      <w:r>
        <w:rPr>
          <w:rFonts w:hint="eastAsia"/>
        </w:rPr>
        <w:t xml:space="preserve"> </w:t>
      </w:r>
      <w:r>
        <w:rPr>
          <w:rFonts w:hint="eastAsia"/>
        </w:rPr>
        <w:t>感谢</w:t>
      </w:r>
      <w:r>
        <w:rPr>
          <w:rFonts w:hint="eastAsia"/>
        </w:rPr>
        <w:t xml:space="preserve"> Dana Farber </w:t>
      </w:r>
      <w:r>
        <w:rPr>
          <w:rFonts w:hint="eastAsia"/>
        </w:rPr>
        <w:t>癌症研究所的</w:t>
      </w:r>
      <w:r>
        <w:rPr>
          <w:rFonts w:hint="eastAsia"/>
        </w:rPr>
        <w:t xml:space="preserve"> Jorge J. Castillo </w:t>
      </w:r>
      <w:r>
        <w:rPr>
          <w:rFonts w:hint="eastAsia"/>
        </w:rPr>
        <w:t>医学博士审阅本说明书。</w:t>
      </w:r>
    </w:p>
    <w:p w:rsidR="00160087" w:rsidRDefault="00160087" w:rsidP="00A01ABF">
      <w:pPr>
        <w:spacing w:before="3"/>
        <w:jc w:val="both"/>
        <w:rPr>
          <w:rFonts w:ascii="Arial" w:eastAsia="Arial" w:hAnsi="Arial" w:cs="Arial"/>
          <w:sz w:val="24"/>
          <w:szCs w:val="24"/>
        </w:rPr>
      </w:pPr>
    </w:p>
    <w:p w:rsidR="003C46D2" w:rsidRDefault="003C46D2" w:rsidP="00A01ABF">
      <w:pPr>
        <w:spacing w:before="3"/>
        <w:jc w:val="both"/>
        <w:rPr>
          <w:rFonts w:ascii="Arial" w:eastAsia="Arial" w:hAnsi="Arial" w:cs="Arial"/>
          <w:sz w:val="24"/>
          <w:szCs w:val="24"/>
        </w:rPr>
      </w:pPr>
      <w:bookmarkStart w:id="0" w:name="_GoBack"/>
      <w:bookmarkEnd w:id="0"/>
    </w:p>
    <w:p w:rsidR="00160087" w:rsidRDefault="003F3E57" w:rsidP="00A01ABF">
      <w:pPr>
        <w:ind w:left="127" w:right="145"/>
        <w:jc w:val="both"/>
        <w:rPr>
          <w:rFonts w:ascii="Arial" w:eastAsia="SimSun" w:hAnsi="Arial" w:cs="Arial"/>
          <w:sz w:val="20"/>
          <w:szCs w:val="20"/>
        </w:rPr>
      </w:pPr>
      <w:r>
        <w:rPr>
          <w:rFonts w:ascii="Arial" w:eastAsia="SimSun" w:hAnsi="Arial" w:hint="eastAsia"/>
          <w:sz w:val="20"/>
        </w:rPr>
        <w:t>改编自百济神州</w:t>
      </w:r>
      <w:r>
        <w:rPr>
          <w:rFonts w:ascii="Arial" w:eastAsia="SimSun" w:hAnsi="Arial" w:hint="eastAsia"/>
          <w:sz w:val="20"/>
        </w:rPr>
        <w:t xml:space="preserve"> (</w:t>
      </w:r>
      <w:proofErr w:type="spellStart"/>
      <w:r>
        <w:rPr>
          <w:rFonts w:ascii="Arial" w:eastAsia="SimSun" w:hAnsi="Arial" w:hint="eastAsia"/>
          <w:sz w:val="20"/>
        </w:rPr>
        <w:t>BeiGene</w:t>
      </w:r>
      <w:proofErr w:type="spellEnd"/>
      <w:r>
        <w:rPr>
          <w:rFonts w:ascii="Arial" w:eastAsia="SimSun" w:hAnsi="Arial" w:hint="eastAsia"/>
          <w:sz w:val="20"/>
        </w:rPr>
        <w:t xml:space="preserve">) </w:t>
      </w:r>
      <w:r>
        <w:rPr>
          <w:rFonts w:ascii="Arial" w:eastAsia="SimSun" w:hAnsi="Arial" w:hint="eastAsia"/>
          <w:sz w:val="20"/>
        </w:rPr>
        <w:t>网站</w:t>
      </w:r>
      <w:hyperlink r:id="rId9">
        <w:r>
          <w:rPr>
            <w:rFonts w:ascii="Arial" w:eastAsia="SimSun" w:hAnsi="Arial" w:hint="eastAsia"/>
            <w:color w:val="006FC0"/>
            <w:sz w:val="20"/>
            <w:u w:val="single" w:color="006FC0"/>
          </w:rPr>
          <w:t>www.brukinsa.com</w:t>
        </w:r>
        <w:r>
          <w:rPr>
            <w:rFonts w:ascii="Arial" w:eastAsia="SimSun" w:hAnsi="Arial" w:hint="eastAsia"/>
            <w:sz w:val="20"/>
          </w:rPr>
          <w:t>，</w:t>
        </w:r>
      </w:hyperlink>
      <w:r>
        <w:rPr>
          <w:rFonts w:ascii="Arial" w:eastAsia="SimSun" w:hAnsi="Arial" w:hint="eastAsia"/>
          <w:sz w:val="20"/>
        </w:rPr>
        <w:t xml:space="preserve">Lexicomp© </w:t>
      </w:r>
      <w:r>
        <w:rPr>
          <w:rFonts w:ascii="Arial" w:eastAsia="SimSun" w:hAnsi="Arial" w:hint="eastAsia"/>
          <w:sz w:val="20"/>
        </w:rPr>
        <w:t>网站</w:t>
      </w:r>
      <w:r>
        <w:rPr>
          <w:rFonts w:ascii="Arial" w:eastAsia="SimSun" w:hAnsi="Arial" w:hint="eastAsia"/>
          <w:sz w:val="20"/>
        </w:rPr>
        <w:t xml:space="preserve"> </w:t>
      </w:r>
      <w:r>
        <w:rPr>
          <w:rFonts w:ascii="Arial" w:eastAsia="SimSun" w:hAnsi="Arial" w:hint="eastAsia"/>
          <w:color w:val="006FC0"/>
          <w:sz w:val="20"/>
          <w:u w:val="single" w:color="006FC0"/>
        </w:rPr>
        <w:t>www.wolterskluwercdi.com/lexicomp-</w:t>
      </w:r>
      <w:hyperlink w:history="1">
        <w:r>
          <w:rPr>
            <w:rStyle w:val="Lienhypertexte"/>
            <w:rFonts w:ascii="Arial" w:eastAsia="SimSun" w:hAnsi="Arial" w:hint="eastAsia"/>
            <w:sz w:val="20"/>
          </w:rPr>
          <w:t xml:space="preserve"> online </w:t>
        </w:r>
      </w:hyperlink>
      <w:r>
        <w:rPr>
          <w:rFonts w:ascii="Arial" w:eastAsia="SimSun" w:hAnsi="Arial" w:hint="eastAsia"/>
          <w:sz w:val="20"/>
        </w:rPr>
        <w:t>和梅奥医院</w:t>
      </w:r>
      <w:r>
        <w:rPr>
          <w:rFonts w:ascii="Arial" w:eastAsia="SimSun" w:hAnsi="Arial" w:hint="eastAsia"/>
          <w:sz w:val="20"/>
        </w:rPr>
        <w:t xml:space="preserve"> (Mayo Clinic) </w:t>
      </w:r>
      <w:r>
        <w:rPr>
          <w:rFonts w:ascii="Arial" w:eastAsia="SimSun" w:hAnsi="Arial" w:hint="eastAsia"/>
          <w:sz w:val="20"/>
        </w:rPr>
        <w:t>网站</w:t>
      </w:r>
      <w:r>
        <w:rPr>
          <w:rFonts w:ascii="Arial" w:eastAsia="SimSun" w:hAnsi="Arial" w:hint="eastAsia"/>
          <w:sz w:val="20"/>
        </w:rPr>
        <w:t xml:space="preserve"> </w:t>
      </w:r>
      <w:hyperlink r:id="rId10">
        <w:r>
          <w:rPr>
            <w:rFonts w:ascii="Arial" w:eastAsia="SimSun" w:hAnsi="Arial" w:hint="eastAsia"/>
            <w:color w:val="006FC0"/>
            <w:sz w:val="20"/>
            <w:u w:val="single" w:color="006FC0"/>
          </w:rPr>
          <w:t>www.mayoclinic.org/drugs-supplements/zanubrutinib-oral-route/before-using/drg-</w:t>
        </w:r>
      </w:hyperlink>
      <w:hyperlink r:id="rId11">
        <w:r>
          <w:rPr>
            <w:rFonts w:ascii="Arial" w:eastAsia="SimSun" w:hAnsi="Arial" w:hint="eastAsia"/>
            <w:color w:val="006FC0"/>
            <w:sz w:val="20"/>
          </w:rPr>
          <w:t xml:space="preserve"> </w:t>
        </w:r>
        <w:r>
          <w:rPr>
            <w:rFonts w:ascii="Arial" w:eastAsia="SimSun" w:hAnsi="Arial" w:hint="eastAsia"/>
            <w:color w:val="006FC0"/>
            <w:sz w:val="20"/>
            <w:u w:val="single" w:color="006FC0"/>
          </w:rPr>
          <w:t>20477009</w:t>
        </w:r>
      </w:hyperlink>
    </w:p>
    <w:sectPr w:rsidR="00160087">
      <w:pgSz w:w="12240" w:h="15840"/>
      <w:pgMar w:top="2820" w:right="1020" w:bottom="1000" w:left="880" w:header="720" w:footer="8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F3E57" w:rsidRDefault="003F3E57">
      <w:r>
        <w:separator/>
      </w:r>
    </w:p>
  </w:endnote>
  <w:endnote w:type="continuationSeparator" w:id="0">
    <w:p w:rsidR="003F3E57" w:rsidRDefault="003F3E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3E57" w:rsidRDefault="003C46D2">
    <w:pPr>
      <w:spacing w:line="14" w:lineRule="auto"/>
      <w:rPr>
        <w:sz w:val="20"/>
        <w:szCs w:val="20"/>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margin-left:247.2pt;margin-top:746.3pt;width:109.95pt;height:7.65pt;z-index:-7600;mso-position-horizontal-relative:page;mso-position-vertical-relative:page">
          <v:imagedata r:id="rId1" o:title=""/>
          <w10:wrap anchorx="page" anchory="page"/>
        </v:shape>
      </w:pict>
    </w:r>
    <w:r>
      <w:pict>
        <v:group id="_x0000_s2050" style="position:absolute;margin-left:50.4pt;margin-top:741.35pt;width:7in;height:.1pt;z-index:-7576;mso-position-horizontal-relative:page;mso-position-vertical-relative:page" coordorigin="1008,14827" coordsize="10080,2">
          <v:shape id="_x0000_s2051" style="position:absolute;left:1008;top:14827;width:10080;height:2" coordorigin="1008,14827" coordsize="10080,0" path="m1008,14827r10080,e" filled="f" strokecolor="#eb881c" strokeweight="2pt">
            <v:path arrowok="t"/>
          </v:shape>
          <w10:wrap anchorx="page" anchory="page"/>
        </v:group>
      </w:pict>
    </w:r>
    <w:r>
      <w:pict>
        <v:shapetype id="_x0000_t202" coordsize="21600,21600" o:spt="202" path="m,l,21600r21600,l21600,xe">
          <v:stroke joinstyle="miter"/>
          <v:path gradientshapeok="t" o:connecttype="rect"/>
        </v:shapetype>
        <v:shape id="_x0000_s2049" type="#_x0000_t202" style="position:absolute;margin-left:49.4pt;margin-top:746.95pt;width:81.75pt;height:10.05pt;z-index:-7552;mso-position-horizontal-relative:page;mso-position-vertical-relative:page" filled="f" stroked="f">
          <v:textbox inset="0,0,0,0">
            <w:txbxContent>
              <w:p w:rsidR="003F3E57" w:rsidRDefault="003F3E57">
                <w:pPr>
                  <w:ind w:left="20"/>
                  <w:rPr>
                    <w:rFonts w:ascii="Arial" w:eastAsia="SimSun" w:hAnsi="Arial" w:cs="Arial"/>
                    <w:sz w:val="16"/>
                    <w:szCs w:val="16"/>
                  </w:rPr>
                </w:pPr>
                <w:r>
                  <w:rPr>
                    <w:rFonts w:ascii="Arial" w:eastAsia="SimSun" w:hint="eastAsia"/>
                    <w:sz w:val="16"/>
                  </w:rPr>
                  <w:t>最新更新</w:t>
                </w:r>
                <w:r>
                  <w:rPr>
                    <w:rFonts w:ascii="Arial" w:eastAsia="SimSun" w:hint="eastAsia"/>
                    <w:sz w:val="16"/>
                  </w:rPr>
                  <w:t xml:space="preserve"> 2020/3/19</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F3E57" w:rsidRDefault="003F3E57">
      <w:r>
        <w:separator/>
      </w:r>
    </w:p>
  </w:footnote>
  <w:footnote w:type="continuationSeparator" w:id="0">
    <w:p w:rsidR="003F3E57" w:rsidRDefault="003F3E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F3E57" w:rsidRDefault="00211C58">
    <w:pPr>
      <w:spacing w:line="14" w:lineRule="auto"/>
      <w:rPr>
        <w:sz w:val="20"/>
        <w:szCs w:val="20"/>
      </w:rPr>
    </w:pPr>
    <w:r>
      <w:pict>
        <v:shapetype id="_x0000_t202" coordsize="21600,21600" o:spt="202" path="m,l,21600r21600,l21600,xe">
          <v:stroke joinstyle="miter"/>
          <v:path gradientshapeok="t" o:connecttype="rect"/>
        </v:shapetype>
        <v:shape id="_x0000_s2053" type="#_x0000_t202" style="position:absolute;margin-left:224.3pt;margin-top:54.6pt;width:300.05pt;height:52.35pt;z-index:-7624;mso-position-horizontal-relative:page;mso-position-vertical-relative:page" filled="f" stroked="f">
          <v:textbox inset="0,0,0,0">
            <w:txbxContent>
              <w:p w:rsidR="003F3E57" w:rsidRDefault="003F3E57">
                <w:pPr>
                  <w:spacing w:line="511" w:lineRule="exact"/>
                  <w:ind w:left="20"/>
                  <w:rPr>
                    <w:rFonts w:ascii="Arial" w:eastAsia="SimSun" w:hAnsi="Arial" w:cs="Arial"/>
                    <w:sz w:val="48"/>
                    <w:szCs w:val="48"/>
                  </w:rPr>
                </w:pPr>
                <w:proofErr w:type="spellStart"/>
                <w:r>
                  <w:rPr>
                    <w:rFonts w:ascii="Arial" w:eastAsia="SimSun" w:hint="eastAsia"/>
                    <w:b/>
                    <w:color w:val="5A9A99"/>
                    <w:sz w:val="48"/>
                  </w:rPr>
                  <w:t>zanubrutinib</w:t>
                </w:r>
                <w:proofErr w:type="spellEnd"/>
                <w:r>
                  <w:rPr>
                    <w:rFonts w:ascii="Arial" w:eastAsia="SimSun" w:hint="eastAsia"/>
                    <w:b/>
                    <w:color w:val="5A9A99"/>
                    <w:sz w:val="48"/>
                  </w:rPr>
                  <w:t>（赞鲁替尼）</w:t>
                </w:r>
                <w:r w:rsidR="00211C58">
                  <w:rPr>
                    <w:rFonts w:ascii="Arial" w:eastAsia="SimSun" w:hint="eastAsia"/>
                    <w:b/>
                    <w:color w:val="5A9A99"/>
                    <w:sz w:val="48"/>
                  </w:rPr>
                  <w:t xml:space="preserve"> </w:t>
                </w:r>
                <w:r w:rsidR="00211C58">
                  <w:rPr>
                    <w:rFonts w:ascii="Arial" w:eastAsia="SimSun"/>
                    <w:b/>
                    <w:color w:val="5A9A99"/>
                    <w:sz w:val="48"/>
                  </w:rPr>
                  <w:t xml:space="preserve"> </w:t>
                </w:r>
                <w:r>
                  <w:rPr>
                    <w:rFonts w:ascii="Arial" w:eastAsia="SimSun" w:hint="eastAsia"/>
                    <w:b/>
                    <w:color w:val="5A9A99"/>
                    <w:sz w:val="48"/>
                  </w:rPr>
                  <w:t>说明书</w:t>
                </w:r>
              </w:p>
            </w:txbxContent>
          </v:textbox>
          <w10:wrap anchorx="page" anchory="page"/>
        </v:shape>
      </w:pict>
    </w:r>
    <w:r w:rsidR="003C46D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50.4pt;margin-top:36pt;width:114.45pt;height:92.6pt;z-index:-7696;mso-position-horizontal-relative:page;mso-position-vertical-relative:page">
          <v:imagedata r:id="rId1" o:title=""/>
          <w10:wrap anchorx="page" anchory="page"/>
        </v:shape>
      </w:pict>
    </w:r>
    <w:r w:rsidR="003C46D2">
      <w:pict>
        <v:group id="_x0000_s2056" style="position:absolute;margin-left:183.8pt;margin-top:58.6pt;width:.1pt;height:67.1pt;z-index:-7672;mso-position-horizontal-relative:page;mso-position-vertical-relative:page" coordorigin="3676,1172" coordsize="2,1342">
          <v:shape id="_x0000_s2057" style="position:absolute;left:3676;top:1172;width:2;height:1342" coordorigin="3676,1172" coordsize="0,1342" path="m3676,1172r,1342e" filled="f" strokecolor="#5a9a99" strokeweight="1pt">
            <v:path arrowok="t"/>
          </v:shape>
          <w10:wrap anchorx="page" anchory="page"/>
        </v:group>
      </w:pict>
    </w:r>
    <w:r w:rsidR="003C46D2">
      <w:pict>
        <v:group id="_x0000_s2054" style="position:absolute;margin-left:50.4pt;margin-top:140.7pt;width:7in;height:.1pt;z-index:-7648;mso-position-horizontal-relative:page;mso-position-vertical-relative:page" coordorigin="1008,2814" coordsize="10080,2">
          <v:shape id="_x0000_s2055" style="position:absolute;left:1008;top:2814;width:10080;height:2" coordorigin="1008,2814" coordsize="10080,0" path="m1008,2814r10080,e" filled="f" strokecolor="#eb881c" strokeweight="2pt">
            <v:path arrowok="t"/>
          </v:shape>
          <w10:wrap anchorx="page" anchory="pag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EF5F23"/>
    <w:multiLevelType w:val="hybridMultilevel"/>
    <w:tmpl w:val="1BCCA420"/>
    <w:lvl w:ilvl="0" w:tplc="04090001">
      <w:start w:val="1"/>
      <w:numFmt w:val="bullet"/>
      <w:lvlText w:val=""/>
      <w:lvlJc w:val="left"/>
      <w:pPr>
        <w:ind w:left="847" w:hanging="360"/>
      </w:pPr>
      <w:rPr>
        <w:rFonts w:ascii="Symbol" w:hAnsi="Symbol"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abstractNum w:abstractNumId="1" w15:restartNumberingAfterBreak="0">
    <w:nsid w:val="576346E7"/>
    <w:multiLevelType w:val="hybridMultilevel"/>
    <w:tmpl w:val="B6CAF95A"/>
    <w:lvl w:ilvl="0" w:tplc="91222F98">
      <w:start w:val="1"/>
      <w:numFmt w:val="bullet"/>
      <w:lvlText w:val=""/>
      <w:lvlJc w:val="left"/>
      <w:pPr>
        <w:ind w:left="848" w:hanging="361"/>
      </w:pPr>
      <w:rPr>
        <w:rFonts w:ascii="Symbol" w:eastAsia="Symbol" w:hAnsi="Symbol" w:hint="default"/>
        <w:w w:val="99"/>
        <w:sz w:val="20"/>
        <w:szCs w:val="20"/>
      </w:rPr>
    </w:lvl>
    <w:lvl w:ilvl="1" w:tplc="64581496">
      <w:start w:val="1"/>
      <w:numFmt w:val="bullet"/>
      <w:lvlText w:val="o"/>
      <w:lvlJc w:val="left"/>
      <w:pPr>
        <w:ind w:left="1568" w:hanging="360"/>
      </w:pPr>
      <w:rPr>
        <w:rFonts w:ascii="Courier New" w:eastAsia="Courier New" w:hAnsi="Courier New" w:hint="default"/>
        <w:color w:val="333333"/>
        <w:w w:val="99"/>
        <w:sz w:val="20"/>
        <w:szCs w:val="20"/>
      </w:rPr>
    </w:lvl>
    <w:lvl w:ilvl="2" w:tplc="377E243A">
      <w:start w:val="1"/>
      <w:numFmt w:val="bullet"/>
      <w:lvlText w:val="•"/>
      <w:lvlJc w:val="left"/>
      <w:pPr>
        <w:ind w:left="2543" w:hanging="360"/>
      </w:pPr>
      <w:rPr>
        <w:rFonts w:hint="default"/>
      </w:rPr>
    </w:lvl>
    <w:lvl w:ilvl="3" w:tplc="2D02F34E">
      <w:start w:val="1"/>
      <w:numFmt w:val="bullet"/>
      <w:lvlText w:val="•"/>
      <w:lvlJc w:val="left"/>
      <w:pPr>
        <w:ind w:left="3517" w:hanging="360"/>
      </w:pPr>
      <w:rPr>
        <w:rFonts w:hint="default"/>
      </w:rPr>
    </w:lvl>
    <w:lvl w:ilvl="4" w:tplc="BA409EF6">
      <w:start w:val="1"/>
      <w:numFmt w:val="bullet"/>
      <w:lvlText w:val="•"/>
      <w:lvlJc w:val="left"/>
      <w:pPr>
        <w:ind w:left="4492" w:hanging="360"/>
      </w:pPr>
      <w:rPr>
        <w:rFonts w:hint="default"/>
      </w:rPr>
    </w:lvl>
    <w:lvl w:ilvl="5" w:tplc="EA125FB2">
      <w:start w:val="1"/>
      <w:numFmt w:val="bullet"/>
      <w:lvlText w:val="•"/>
      <w:lvlJc w:val="left"/>
      <w:pPr>
        <w:ind w:left="5466" w:hanging="360"/>
      </w:pPr>
      <w:rPr>
        <w:rFonts w:hint="default"/>
      </w:rPr>
    </w:lvl>
    <w:lvl w:ilvl="6" w:tplc="CC1CCEEA">
      <w:start w:val="1"/>
      <w:numFmt w:val="bullet"/>
      <w:lvlText w:val="•"/>
      <w:lvlJc w:val="left"/>
      <w:pPr>
        <w:ind w:left="6441" w:hanging="360"/>
      </w:pPr>
      <w:rPr>
        <w:rFonts w:hint="default"/>
      </w:rPr>
    </w:lvl>
    <w:lvl w:ilvl="7" w:tplc="74F42C24">
      <w:start w:val="1"/>
      <w:numFmt w:val="bullet"/>
      <w:lvlText w:val="•"/>
      <w:lvlJc w:val="left"/>
      <w:pPr>
        <w:ind w:left="7416" w:hanging="360"/>
      </w:pPr>
      <w:rPr>
        <w:rFonts w:hint="default"/>
      </w:rPr>
    </w:lvl>
    <w:lvl w:ilvl="8" w:tplc="C164C112">
      <w:start w:val="1"/>
      <w:numFmt w:val="bullet"/>
      <w:lvlText w:val="•"/>
      <w:lvlJc w:val="left"/>
      <w:pPr>
        <w:ind w:left="8390" w:hanging="360"/>
      </w:pPr>
      <w:rPr>
        <w:rFonts w:hint="default"/>
      </w:rPr>
    </w:lvl>
  </w:abstractNum>
  <w:abstractNum w:abstractNumId="2" w15:restartNumberingAfterBreak="0">
    <w:nsid w:val="7AEE513D"/>
    <w:multiLevelType w:val="hybridMultilevel"/>
    <w:tmpl w:val="9CF2811E"/>
    <w:lvl w:ilvl="0" w:tplc="04090003">
      <w:start w:val="1"/>
      <w:numFmt w:val="bullet"/>
      <w:lvlText w:val="o"/>
      <w:lvlJc w:val="left"/>
      <w:pPr>
        <w:ind w:left="847" w:hanging="360"/>
      </w:pPr>
      <w:rPr>
        <w:rFonts w:ascii="Courier New" w:hAnsi="Courier New" w:cs="Courier New" w:hint="default"/>
      </w:rPr>
    </w:lvl>
    <w:lvl w:ilvl="1" w:tplc="040C0003" w:tentative="1">
      <w:start w:val="1"/>
      <w:numFmt w:val="bullet"/>
      <w:lvlText w:val="o"/>
      <w:lvlJc w:val="left"/>
      <w:pPr>
        <w:ind w:left="1567" w:hanging="360"/>
      </w:pPr>
      <w:rPr>
        <w:rFonts w:ascii="Courier New" w:hAnsi="Courier New" w:cs="Courier New" w:hint="default"/>
      </w:rPr>
    </w:lvl>
    <w:lvl w:ilvl="2" w:tplc="040C0005" w:tentative="1">
      <w:start w:val="1"/>
      <w:numFmt w:val="bullet"/>
      <w:lvlText w:val=""/>
      <w:lvlJc w:val="left"/>
      <w:pPr>
        <w:ind w:left="2287" w:hanging="360"/>
      </w:pPr>
      <w:rPr>
        <w:rFonts w:ascii="Wingdings" w:hAnsi="Wingdings" w:hint="default"/>
      </w:rPr>
    </w:lvl>
    <w:lvl w:ilvl="3" w:tplc="040C0001" w:tentative="1">
      <w:start w:val="1"/>
      <w:numFmt w:val="bullet"/>
      <w:lvlText w:val=""/>
      <w:lvlJc w:val="left"/>
      <w:pPr>
        <w:ind w:left="3007" w:hanging="360"/>
      </w:pPr>
      <w:rPr>
        <w:rFonts w:ascii="Symbol" w:hAnsi="Symbol" w:hint="default"/>
      </w:rPr>
    </w:lvl>
    <w:lvl w:ilvl="4" w:tplc="040C0003" w:tentative="1">
      <w:start w:val="1"/>
      <w:numFmt w:val="bullet"/>
      <w:lvlText w:val="o"/>
      <w:lvlJc w:val="left"/>
      <w:pPr>
        <w:ind w:left="3727" w:hanging="360"/>
      </w:pPr>
      <w:rPr>
        <w:rFonts w:ascii="Courier New" w:hAnsi="Courier New" w:cs="Courier New" w:hint="default"/>
      </w:rPr>
    </w:lvl>
    <w:lvl w:ilvl="5" w:tplc="040C0005" w:tentative="1">
      <w:start w:val="1"/>
      <w:numFmt w:val="bullet"/>
      <w:lvlText w:val=""/>
      <w:lvlJc w:val="left"/>
      <w:pPr>
        <w:ind w:left="4447" w:hanging="360"/>
      </w:pPr>
      <w:rPr>
        <w:rFonts w:ascii="Wingdings" w:hAnsi="Wingdings" w:hint="default"/>
      </w:rPr>
    </w:lvl>
    <w:lvl w:ilvl="6" w:tplc="040C0001" w:tentative="1">
      <w:start w:val="1"/>
      <w:numFmt w:val="bullet"/>
      <w:lvlText w:val=""/>
      <w:lvlJc w:val="left"/>
      <w:pPr>
        <w:ind w:left="5167" w:hanging="360"/>
      </w:pPr>
      <w:rPr>
        <w:rFonts w:ascii="Symbol" w:hAnsi="Symbol" w:hint="default"/>
      </w:rPr>
    </w:lvl>
    <w:lvl w:ilvl="7" w:tplc="040C0003" w:tentative="1">
      <w:start w:val="1"/>
      <w:numFmt w:val="bullet"/>
      <w:lvlText w:val="o"/>
      <w:lvlJc w:val="left"/>
      <w:pPr>
        <w:ind w:left="5887" w:hanging="360"/>
      </w:pPr>
      <w:rPr>
        <w:rFonts w:ascii="Courier New" w:hAnsi="Courier New" w:cs="Courier New" w:hint="default"/>
      </w:rPr>
    </w:lvl>
    <w:lvl w:ilvl="8" w:tplc="040C0005" w:tentative="1">
      <w:start w:val="1"/>
      <w:numFmt w:val="bullet"/>
      <w:lvlText w:val=""/>
      <w:lvlJc w:val="left"/>
      <w:pPr>
        <w:ind w:left="660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Setting w:name="useWord2013TrackBottomHyphenation" w:uri="http://schemas.microsoft.com/office/word" w:val="1"/>
  </w:compat>
  <w:rsids>
    <w:rsidRoot w:val="00160087"/>
    <w:rsid w:val="00160087"/>
    <w:rsid w:val="00211C58"/>
    <w:rsid w:val="003C46D2"/>
    <w:rsid w:val="003F3E57"/>
    <w:rsid w:val="00A01ABF"/>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2AAE6513"/>
  <w15:docId w15:val="{43D37737-7621-4FAE-8C14-3D9E8ACAC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uiPriority w:val="9"/>
    <w:qFormat/>
    <w:pPr>
      <w:ind w:left="127"/>
      <w:outlineLvl w:val="0"/>
    </w:pPr>
    <w:rPr>
      <w:rFonts w:ascii="Arial" w:eastAsia="SimSun" w:hAnsi="Arial"/>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27"/>
    </w:pPr>
    <w:rPr>
      <w:rFonts w:ascii="Arial" w:eastAsia="SimSun" w:hAnsi="Arial"/>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A01ABF"/>
    <w:rPr>
      <w:color w:val="0000FF" w:themeColor="hyperlink"/>
      <w:u w:val="single"/>
    </w:rPr>
  </w:style>
  <w:style w:type="character" w:styleId="Mentionnonrsolue">
    <w:name w:val="Unresolved Mention"/>
    <w:basedOn w:val="Policepardfaut"/>
    <w:uiPriority w:val="99"/>
    <w:semiHidden/>
    <w:unhideWhenUsed/>
    <w:rsid w:val="00A01ABF"/>
    <w:rPr>
      <w:color w:val="605E5C"/>
      <w:shd w:val="clear" w:color="auto" w:fill="E1DFDD"/>
    </w:rPr>
  </w:style>
  <w:style w:type="paragraph" w:styleId="En-tte">
    <w:name w:val="header"/>
    <w:basedOn w:val="Normal"/>
    <w:link w:val="En-tteCar"/>
    <w:uiPriority w:val="99"/>
    <w:unhideWhenUsed/>
    <w:rsid w:val="00211C58"/>
    <w:pPr>
      <w:tabs>
        <w:tab w:val="center" w:pos="4536"/>
        <w:tab w:val="right" w:pos="9072"/>
      </w:tabs>
    </w:pPr>
  </w:style>
  <w:style w:type="character" w:customStyle="1" w:styleId="En-tteCar">
    <w:name w:val="En-tête Car"/>
    <w:basedOn w:val="Policepardfaut"/>
    <w:link w:val="En-tte"/>
    <w:uiPriority w:val="99"/>
    <w:rsid w:val="00211C58"/>
  </w:style>
  <w:style w:type="paragraph" w:styleId="Pieddepage">
    <w:name w:val="footer"/>
    <w:basedOn w:val="Normal"/>
    <w:link w:val="PieddepageCar"/>
    <w:uiPriority w:val="99"/>
    <w:unhideWhenUsed/>
    <w:rsid w:val="00211C58"/>
    <w:pPr>
      <w:tabs>
        <w:tab w:val="center" w:pos="4536"/>
        <w:tab w:val="right" w:pos="9072"/>
      </w:tabs>
    </w:pPr>
  </w:style>
  <w:style w:type="character" w:customStyle="1" w:styleId="PieddepageCar">
    <w:name w:val="Pied de page Car"/>
    <w:basedOn w:val="Policepardfaut"/>
    <w:link w:val="Pieddepage"/>
    <w:uiPriority w:val="99"/>
    <w:rsid w:val="00211C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ayoclinic.org/drugs-supplements/zanubrutinib-oral-route/before-using/drg-20477009" TargetMode="External"/><Relationship Id="rId5" Type="http://schemas.openxmlformats.org/officeDocument/2006/relationships/footnotes" Target="footnotes.xml"/><Relationship Id="rId10" Type="http://schemas.openxmlformats.org/officeDocument/2006/relationships/hyperlink" Target="https://www.mayoclinic.org/drugs-supplements/zanubrutinib-oral-route/before-using/drg-20477009" TargetMode="External"/><Relationship Id="rId4" Type="http://schemas.openxmlformats.org/officeDocument/2006/relationships/webSettings" Target="webSettings.xml"/><Relationship Id="rId9" Type="http://schemas.openxmlformats.org/officeDocument/2006/relationships/hyperlink" Target="https://www.brukinsa.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SimSun"/>
        <a:cs typeface=""/>
      </a:majorFont>
      <a:minorFont>
        <a:latin typeface="Calibri"/>
        <a:ea typeface="SimSun"/>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Pages>
  <Words>1018</Words>
  <Characters>5602</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P Nelson</dc:creator>
  <cp:lastModifiedBy>Marine Gandit</cp:lastModifiedBy>
  <cp:revision>4</cp:revision>
  <dcterms:created xsi:type="dcterms:W3CDTF">2020-03-19T17:13:00Z</dcterms:created>
  <dcterms:modified xsi:type="dcterms:W3CDTF">2020-03-27T16:22:00Z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2020-03-19T00:00:00Z</vt:filetime>
  </property>
  <property fmtid="{D5CDD505-2E9C-101B-9397-08002B2CF9AE}" pid="3" name="LastSaved">
    <vt:filetime>2020-03-19T00:00:00Z</vt:filetime>
  </property>
</Properties>
</file>